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Default="007B70C2" w:rsidP="007B70C2">
      <w:pPr>
        <w:spacing w:line="360" w:lineRule="auto"/>
        <w:jc w:val="both"/>
        <w:rPr>
          <w:rFonts w:ascii="Palatino Linotype" w:hAnsi="Palatino Linotype" w:cs="Arial"/>
          <w:b/>
          <w:lang w:eastAsia="es-MX"/>
        </w:rPr>
      </w:pPr>
      <w:r>
        <w:rPr>
          <w:rFonts w:ascii="Palatino Linotype" w:hAnsi="Palatino Linotype" w:cs="Arial"/>
          <w:b/>
        </w:rPr>
        <w:t>VOTO DISIDENTE</w:t>
      </w:r>
      <w:r w:rsidRPr="0060362D">
        <w:rPr>
          <w:rFonts w:ascii="Palatino Linotype" w:hAnsi="Palatino Linotype" w:cs="Arial"/>
          <w:b/>
        </w:rPr>
        <w:t xml:space="preserve"> DEL COMISIONADO JOSÉ GUADALUPE LUNA HERNÁNDEZ EN </w:t>
      </w:r>
      <w:r>
        <w:rPr>
          <w:rFonts w:ascii="Palatino Linotype" w:hAnsi="Palatino Linotype" w:cs="Arial"/>
          <w:b/>
        </w:rPr>
        <w:t>EL RECURSO</w:t>
      </w:r>
      <w:r w:rsidRPr="0060362D">
        <w:rPr>
          <w:rFonts w:ascii="Palatino Linotype" w:hAnsi="Palatino Linotype" w:cs="Arial"/>
          <w:b/>
        </w:rPr>
        <w:t xml:space="preserve"> DE </w:t>
      </w:r>
      <w:r w:rsidRPr="00500365">
        <w:rPr>
          <w:rFonts w:ascii="Palatino Linotype" w:hAnsi="Palatino Linotype" w:cs="Arial"/>
          <w:b/>
        </w:rPr>
        <w:t>REVISIÓN</w:t>
      </w:r>
      <w:r w:rsidR="00FC0B18" w:rsidRPr="00500365">
        <w:rPr>
          <w:rFonts w:ascii="Palatino Linotype" w:hAnsi="Palatino Linotype" w:cs="Arial"/>
          <w:b/>
        </w:rPr>
        <w:t xml:space="preserve"> </w:t>
      </w:r>
      <w:r w:rsidR="00411E99">
        <w:rPr>
          <w:rFonts w:ascii="Palatino Linotype" w:hAnsi="Palatino Linotype" w:cs="Arial"/>
          <w:b/>
        </w:rPr>
        <w:t>01203</w:t>
      </w:r>
      <w:r w:rsidR="00C646A5">
        <w:rPr>
          <w:rFonts w:ascii="Palatino Linotype" w:hAnsi="Palatino Linotype" w:cs="Arial"/>
          <w:b/>
          <w:lang w:eastAsia="es-MX"/>
        </w:rPr>
        <w:t>/</w:t>
      </w:r>
      <w:r w:rsidR="00FC0B18" w:rsidRPr="00500365">
        <w:rPr>
          <w:rFonts w:ascii="Palatino Linotype" w:hAnsi="Palatino Linotype" w:cs="Arial"/>
          <w:b/>
          <w:lang w:eastAsia="es-MX"/>
        </w:rPr>
        <w:t>INFOEM/IP/RR/201</w:t>
      </w:r>
      <w:r w:rsidR="00C56B5A">
        <w:rPr>
          <w:rFonts w:ascii="Palatino Linotype" w:hAnsi="Palatino Linotype" w:cs="Arial"/>
          <w:b/>
          <w:lang w:eastAsia="es-MX"/>
        </w:rPr>
        <w:t>8</w:t>
      </w:r>
      <w:r w:rsidRPr="00500365">
        <w:rPr>
          <w:rFonts w:ascii="Palatino Linotype" w:hAnsi="Palatino Linotype" w:cs="Arial"/>
          <w:b/>
          <w:lang w:eastAsia="es-MX"/>
        </w:rPr>
        <w:t>.</w:t>
      </w:r>
    </w:p>
    <w:p w:rsidR="007B70C2" w:rsidRDefault="007B70C2" w:rsidP="007B70C2">
      <w:pPr>
        <w:spacing w:line="360" w:lineRule="auto"/>
        <w:jc w:val="both"/>
        <w:rPr>
          <w:rFonts w:ascii="Palatino Linotype" w:hAnsi="Palatino Linotype" w:cs="Arial"/>
        </w:rPr>
      </w:pPr>
    </w:p>
    <w:p w:rsidR="00207A85" w:rsidRPr="00F649A6" w:rsidRDefault="00207A85" w:rsidP="00207A85">
      <w:pPr>
        <w:spacing w:line="360" w:lineRule="auto"/>
        <w:jc w:val="both"/>
        <w:rPr>
          <w:rFonts w:ascii="Palatino Linotype" w:hAnsi="Palatino Linotype"/>
        </w:rPr>
      </w:pPr>
      <w:r w:rsidRPr="00F649A6">
        <w:rPr>
          <w:rFonts w:ascii="Palatino Linotype" w:hAnsi="Palatino Linotype"/>
        </w:rPr>
        <w:t xml:space="preserve">Se debe puntualizar que los particulares no son expertos en la materia y en ocasiones desconocen la vía para poder tener acceso a documentos en los que constan sus datos personales o el trámite procedente a realizarse para obtenerlos </w:t>
      </w:r>
    </w:p>
    <w:p w:rsidR="00207A85" w:rsidRPr="00411E99" w:rsidRDefault="00207A85" w:rsidP="00207A85">
      <w:pPr>
        <w:spacing w:line="360" w:lineRule="auto"/>
        <w:jc w:val="both"/>
        <w:rPr>
          <w:rFonts w:ascii="Palatino Linotype" w:hAnsi="Palatino Linotype"/>
          <w:highlight w:val="yellow"/>
        </w:rPr>
      </w:pPr>
    </w:p>
    <w:p w:rsidR="00C56B5A" w:rsidRPr="00500365" w:rsidRDefault="0021451A" w:rsidP="007B70C2">
      <w:pPr>
        <w:spacing w:line="360" w:lineRule="auto"/>
        <w:jc w:val="both"/>
        <w:rPr>
          <w:rFonts w:ascii="Palatino Linotype" w:hAnsi="Palatino Linotype" w:cs="Arial"/>
        </w:rPr>
      </w:pPr>
      <w:r w:rsidRPr="00F649A6">
        <w:rPr>
          <w:rFonts w:ascii="Palatino Linotype" w:hAnsi="Palatino Linotype" w:cs="Arial"/>
        </w:rPr>
        <w:t xml:space="preserve">El Órgano Garante deberá </w:t>
      </w:r>
      <w:r w:rsidR="00F649A6">
        <w:rPr>
          <w:rFonts w:ascii="Palatino Linotype" w:hAnsi="Palatino Linotype" w:cs="Arial"/>
        </w:rPr>
        <w:t>proteger el ejercicio de los derechos ARCO en favor de los particulares, en caso de que exista un trámite específico para obtener información de carácter personal, las instituciones públicas deberán hacerlo del conocimiento de los particulares al tiempo que hagan saber que el ejercicio de sus derechos podrá seguir siendo llevado a cabo a través de la plataforma SARCOEM o bien, a través del SAIMEX previo un estricto enderezamiento de acceso a datos.</w:t>
      </w:r>
    </w:p>
    <w:p w:rsidR="002A3A54" w:rsidRDefault="002A3A54" w:rsidP="007B70C2">
      <w:pPr>
        <w:spacing w:line="360" w:lineRule="auto"/>
        <w:jc w:val="both"/>
        <w:rPr>
          <w:rFonts w:ascii="Palatino Linotype" w:hAnsi="Palatino Linotype" w:cs="Arial"/>
        </w:rPr>
      </w:pPr>
    </w:p>
    <w:sdt>
      <w:sdtPr>
        <w:rPr>
          <w:rFonts w:ascii="Times New Roman" w:eastAsia="Arial Unicode MS" w:hAnsi="Times New Roman"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B82DF9" w:rsidRDefault="00B82DF9" w:rsidP="00B82DF9">
          <w:pPr>
            <w:pStyle w:val="TtulodeTDC"/>
            <w:spacing w:line="360" w:lineRule="auto"/>
            <w:jc w:val="center"/>
            <w:rPr>
              <w:rFonts w:ascii="Palatino Linotype" w:hAnsi="Palatino Linotype"/>
              <w:b/>
              <w:color w:val="000000" w:themeColor="text1"/>
              <w:sz w:val="24"/>
              <w:szCs w:val="24"/>
            </w:rPr>
          </w:pPr>
          <w:r w:rsidRPr="00B82DF9">
            <w:rPr>
              <w:rFonts w:ascii="Palatino Linotype" w:hAnsi="Palatino Linotype"/>
              <w:b/>
              <w:color w:val="000000" w:themeColor="text1"/>
              <w:sz w:val="24"/>
              <w:szCs w:val="24"/>
              <w:lang w:val="es-ES"/>
            </w:rPr>
            <w:t>Índice</w:t>
          </w:r>
        </w:p>
        <w:p w:rsidR="00F649A6" w:rsidRDefault="00B82DF9">
          <w:pPr>
            <w:pStyle w:val="TDC2"/>
            <w:tabs>
              <w:tab w:val="left" w:pos="660"/>
            </w:tabs>
            <w:rPr>
              <w:rFonts w:asciiTheme="minorHAnsi" w:eastAsiaTheme="minorEastAsia" w:hAnsiTheme="minorHAnsi" w:cstheme="minorBidi"/>
              <w:noProof/>
              <w:sz w:val="22"/>
              <w:szCs w:val="22"/>
              <w:bdr w:val="none" w:sz="0" w:space="0" w:color="auto"/>
              <w:lang w:eastAsia="es-MX"/>
            </w:rPr>
          </w:pPr>
          <w:r>
            <w:fldChar w:fldCharType="begin"/>
          </w:r>
          <w:r>
            <w:instrText xml:space="preserve"> TOC \o "1-3" \h \z \u </w:instrText>
          </w:r>
          <w:r>
            <w:fldChar w:fldCharType="separate"/>
          </w:r>
          <w:hyperlink w:anchor="_Toc524355591" w:history="1">
            <w:r w:rsidR="00F649A6" w:rsidRPr="009C76C8">
              <w:rPr>
                <w:rStyle w:val="Hipervnculo"/>
                <w:rFonts w:ascii="Palatino Linotype" w:hAnsi="Palatino Linotype"/>
                <w:b/>
                <w:noProof/>
                <w:lang w:val="es-ES"/>
              </w:rPr>
              <w:t>I.</w:t>
            </w:r>
            <w:r w:rsidR="00F649A6">
              <w:rPr>
                <w:rFonts w:asciiTheme="minorHAnsi" w:eastAsiaTheme="minorEastAsia" w:hAnsiTheme="minorHAnsi" w:cstheme="minorBidi"/>
                <w:noProof/>
                <w:sz w:val="22"/>
                <w:szCs w:val="22"/>
                <w:bdr w:val="none" w:sz="0" w:space="0" w:color="auto"/>
                <w:lang w:eastAsia="es-MX"/>
              </w:rPr>
              <w:tab/>
            </w:r>
            <w:r w:rsidR="00F649A6" w:rsidRPr="009C76C8">
              <w:rPr>
                <w:rStyle w:val="Hipervnculo"/>
                <w:rFonts w:ascii="Palatino Linotype" w:hAnsi="Palatino Linotype"/>
                <w:b/>
                <w:noProof/>
                <w:lang w:val="es-ES"/>
              </w:rPr>
              <w:t>De los Requerimientos.</w:t>
            </w:r>
            <w:r w:rsidR="00F649A6">
              <w:rPr>
                <w:noProof/>
                <w:webHidden/>
              </w:rPr>
              <w:tab/>
            </w:r>
            <w:r w:rsidR="00F649A6">
              <w:rPr>
                <w:noProof/>
                <w:webHidden/>
              </w:rPr>
              <w:fldChar w:fldCharType="begin"/>
            </w:r>
            <w:r w:rsidR="00F649A6">
              <w:rPr>
                <w:noProof/>
                <w:webHidden/>
              </w:rPr>
              <w:instrText xml:space="preserve"> PAGEREF _Toc524355591 \h </w:instrText>
            </w:r>
            <w:r w:rsidR="00F649A6">
              <w:rPr>
                <w:noProof/>
                <w:webHidden/>
              </w:rPr>
            </w:r>
            <w:r w:rsidR="00F649A6">
              <w:rPr>
                <w:noProof/>
                <w:webHidden/>
              </w:rPr>
              <w:fldChar w:fldCharType="separate"/>
            </w:r>
            <w:r w:rsidR="00C94BC1">
              <w:rPr>
                <w:noProof/>
                <w:webHidden/>
              </w:rPr>
              <w:t>3</w:t>
            </w:r>
            <w:r w:rsidR="00F649A6">
              <w:rPr>
                <w:noProof/>
                <w:webHidden/>
              </w:rPr>
              <w:fldChar w:fldCharType="end"/>
            </w:r>
          </w:hyperlink>
        </w:p>
        <w:p w:rsidR="00F649A6" w:rsidRDefault="001E4A0E">
          <w:pPr>
            <w:pStyle w:val="TDC2"/>
            <w:rPr>
              <w:rFonts w:asciiTheme="minorHAnsi" w:eastAsiaTheme="minorEastAsia" w:hAnsiTheme="minorHAnsi" w:cstheme="minorBidi"/>
              <w:noProof/>
              <w:sz w:val="22"/>
              <w:szCs w:val="22"/>
              <w:bdr w:val="none" w:sz="0" w:space="0" w:color="auto"/>
              <w:lang w:eastAsia="es-MX"/>
            </w:rPr>
          </w:pPr>
          <w:hyperlink w:anchor="_Toc524355592" w:history="1">
            <w:r w:rsidR="00F649A6" w:rsidRPr="009C76C8">
              <w:rPr>
                <w:rStyle w:val="Hipervnculo"/>
                <w:rFonts w:ascii="Palatino Linotype" w:hAnsi="Palatino Linotype"/>
                <w:b/>
                <w:noProof/>
                <w:lang w:val="es-ES"/>
              </w:rPr>
              <w:t>II. Los argumentos de la resolución aprobada.</w:t>
            </w:r>
            <w:r w:rsidR="00F649A6">
              <w:rPr>
                <w:noProof/>
                <w:webHidden/>
              </w:rPr>
              <w:tab/>
            </w:r>
            <w:r w:rsidR="00F649A6">
              <w:rPr>
                <w:noProof/>
                <w:webHidden/>
              </w:rPr>
              <w:fldChar w:fldCharType="begin"/>
            </w:r>
            <w:r w:rsidR="00F649A6">
              <w:rPr>
                <w:noProof/>
                <w:webHidden/>
              </w:rPr>
              <w:instrText xml:space="preserve"> PAGEREF _Toc524355592 \h </w:instrText>
            </w:r>
            <w:r w:rsidR="00F649A6">
              <w:rPr>
                <w:noProof/>
                <w:webHidden/>
              </w:rPr>
            </w:r>
            <w:r w:rsidR="00F649A6">
              <w:rPr>
                <w:noProof/>
                <w:webHidden/>
              </w:rPr>
              <w:fldChar w:fldCharType="separate"/>
            </w:r>
            <w:r w:rsidR="00C94BC1">
              <w:rPr>
                <w:noProof/>
                <w:webHidden/>
              </w:rPr>
              <w:t>4</w:t>
            </w:r>
            <w:r w:rsidR="00F649A6">
              <w:rPr>
                <w:noProof/>
                <w:webHidden/>
              </w:rPr>
              <w:fldChar w:fldCharType="end"/>
            </w:r>
          </w:hyperlink>
        </w:p>
        <w:p w:rsidR="00F649A6" w:rsidRDefault="001E4A0E">
          <w:pPr>
            <w:pStyle w:val="TDC2"/>
            <w:rPr>
              <w:rFonts w:asciiTheme="minorHAnsi" w:eastAsiaTheme="minorEastAsia" w:hAnsiTheme="minorHAnsi" w:cstheme="minorBidi"/>
              <w:noProof/>
              <w:sz w:val="22"/>
              <w:szCs w:val="22"/>
              <w:bdr w:val="none" w:sz="0" w:space="0" w:color="auto"/>
              <w:lang w:eastAsia="es-MX"/>
            </w:rPr>
          </w:pPr>
          <w:hyperlink w:anchor="_Toc524355593" w:history="1">
            <w:r w:rsidR="00F649A6" w:rsidRPr="009C76C8">
              <w:rPr>
                <w:rStyle w:val="Hipervnculo"/>
                <w:b/>
                <w:noProof/>
                <w:lang w:val="es-ES"/>
              </w:rPr>
              <w:t xml:space="preserve">III.  </w:t>
            </w:r>
            <w:r w:rsidR="00F649A6" w:rsidRPr="009C76C8">
              <w:rPr>
                <w:rStyle w:val="Hipervnculo"/>
                <w:rFonts w:ascii="Palatino Linotype" w:hAnsi="Palatino Linotype" w:cs="Arial"/>
                <w:b/>
                <w:noProof/>
              </w:rPr>
              <w:t>De los trámites en específico.</w:t>
            </w:r>
            <w:r w:rsidR="00F649A6">
              <w:rPr>
                <w:noProof/>
                <w:webHidden/>
              </w:rPr>
              <w:tab/>
            </w:r>
            <w:r w:rsidR="00F649A6">
              <w:rPr>
                <w:noProof/>
                <w:webHidden/>
              </w:rPr>
              <w:fldChar w:fldCharType="begin"/>
            </w:r>
            <w:r w:rsidR="00F649A6">
              <w:rPr>
                <w:noProof/>
                <w:webHidden/>
              </w:rPr>
              <w:instrText xml:space="preserve"> PAGEREF _Toc524355593 \h </w:instrText>
            </w:r>
            <w:r w:rsidR="00F649A6">
              <w:rPr>
                <w:noProof/>
                <w:webHidden/>
              </w:rPr>
            </w:r>
            <w:r w:rsidR="00F649A6">
              <w:rPr>
                <w:noProof/>
                <w:webHidden/>
              </w:rPr>
              <w:fldChar w:fldCharType="separate"/>
            </w:r>
            <w:r w:rsidR="00C94BC1">
              <w:rPr>
                <w:noProof/>
                <w:webHidden/>
              </w:rPr>
              <w:t>5</w:t>
            </w:r>
            <w:r w:rsidR="00F649A6">
              <w:rPr>
                <w:noProof/>
                <w:webHidden/>
              </w:rPr>
              <w:fldChar w:fldCharType="end"/>
            </w:r>
          </w:hyperlink>
        </w:p>
        <w:p w:rsidR="00F649A6" w:rsidRDefault="001E4A0E">
          <w:pPr>
            <w:pStyle w:val="TDC2"/>
            <w:rPr>
              <w:rFonts w:asciiTheme="minorHAnsi" w:eastAsiaTheme="minorEastAsia" w:hAnsiTheme="minorHAnsi" w:cstheme="minorBidi"/>
              <w:noProof/>
              <w:sz w:val="22"/>
              <w:szCs w:val="22"/>
              <w:bdr w:val="none" w:sz="0" w:space="0" w:color="auto"/>
              <w:lang w:eastAsia="es-MX"/>
            </w:rPr>
          </w:pPr>
          <w:hyperlink w:anchor="_Toc524355594" w:history="1">
            <w:r w:rsidR="00F649A6" w:rsidRPr="009C76C8">
              <w:rPr>
                <w:rStyle w:val="Hipervnculo"/>
                <w:rFonts w:ascii="Palatino Linotype" w:eastAsia="Calibri" w:hAnsi="Palatino Linotype" w:cs="Arial"/>
                <w:b/>
                <w:noProof/>
              </w:rPr>
              <w:t>IV. De los Derechos ARCO.</w:t>
            </w:r>
            <w:r w:rsidR="00F649A6">
              <w:rPr>
                <w:noProof/>
                <w:webHidden/>
              </w:rPr>
              <w:tab/>
            </w:r>
            <w:r w:rsidR="00F649A6">
              <w:rPr>
                <w:noProof/>
                <w:webHidden/>
              </w:rPr>
              <w:fldChar w:fldCharType="begin"/>
            </w:r>
            <w:r w:rsidR="00F649A6">
              <w:rPr>
                <w:noProof/>
                <w:webHidden/>
              </w:rPr>
              <w:instrText xml:space="preserve"> PAGEREF _Toc524355594 \h </w:instrText>
            </w:r>
            <w:r w:rsidR="00F649A6">
              <w:rPr>
                <w:noProof/>
                <w:webHidden/>
              </w:rPr>
            </w:r>
            <w:r w:rsidR="00F649A6">
              <w:rPr>
                <w:noProof/>
                <w:webHidden/>
              </w:rPr>
              <w:fldChar w:fldCharType="separate"/>
            </w:r>
            <w:r w:rsidR="00C94BC1">
              <w:rPr>
                <w:noProof/>
                <w:webHidden/>
              </w:rPr>
              <w:t>9</w:t>
            </w:r>
            <w:r w:rsidR="00F649A6">
              <w:rPr>
                <w:noProof/>
                <w:webHidden/>
              </w:rPr>
              <w:fldChar w:fldCharType="end"/>
            </w:r>
          </w:hyperlink>
        </w:p>
        <w:p w:rsidR="00F649A6" w:rsidRDefault="001E4A0E">
          <w:pPr>
            <w:pStyle w:val="TDC2"/>
            <w:rPr>
              <w:rFonts w:asciiTheme="minorHAnsi" w:eastAsiaTheme="minorEastAsia" w:hAnsiTheme="minorHAnsi" w:cstheme="minorBidi"/>
              <w:noProof/>
              <w:sz w:val="22"/>
              <w:szCs w:val="22"/>
              <w:bdr w:val="none" w:sz="0" w:space="0" w:color="auto"/>
              <w:lang w:eastAsia="es-MX"/>
            </w:rPr>
          </w:pPr>
          <w:hyperlink w:anchor="_Toc524355595" w:history="1">
            <w:r w:rsidR="00F649A6" w:rsidRPr="009C76C8">
              <w:rPr>
                <w:rStyle w:val="Hipervnculo"/>
                <w:rFonts w:ascii="Palatino Linotype" w:eastAsia="Times New Roman" w:hAnsi="Palatino Linotype"/>
                <w:b/>
                <w:noProof/>
                <w:lang w:eastAsia="es-MX"/>
              </w:rPr>
              <w:t>V. Conclusión.</w:t>
            </w:r>
            <w:r w:rsidR="00F649A6">
              <w:rPr>
                <w:noProof/>
                <w:webHidden/>
              </w:rPr>
              <w:tab/>
            </w:r>
            <w:r w:rsidR="00F649A6">
              <w:rPr>
                <w:noProof/>
                <w:webHidden/>
              </w:rPr>
              <w:fldChar w:fldCharType="begin"/>
            </w:r>
            <w:r w:rsidR="00F649A6">
              <w:rPr>
                <w:noProof/>
                <w:webHidden/>
              </w:rPr>
              <w:instrText xml:space="preserve"> PAGEREF _Toc524355595 \h </w:instrText>
            </w:r>
            <w:r w:rsidR="00F649A6">
              <w:rPr>
                <w:noProof/>
                <w:webHidden/>
              </w:rPr>
            </w:r>
            <w:r w:rsidR="00F649A6">
              <w:rPr>
                <w:noProof/>
                <w:webHidden/>
              </w:rPr>
              <w:fldChar w:fldCharType="separate"/>
            </w:r>
            <w:r w:rsidR="00C94BC1">
              <w:rPr>
                <w:noProof/>
                <w:webHidden/>
              </w:rPr>
              <w:t>11</w:t>
            </w:r>
            <w:r w:rsidR="00F649A6">
              <w:rPr>
                <w:noProof/>
                <w:webHidden/>
              </w:rPr>
              <w:fldChar w:fldCharType="end"/>
            </w:r>
          </w:hyperlink>
        </w:p>
        <w:p w:rsidR="00C2025D" w:rsidRPr="00C94BC1" w:rsidRDefault="00B82DF9" w:rsidP="00C94BC1">
          <w:pPr>
            <w:spacing w:line="360" w:lineRule="auto"/>
          </w:pPr>
          <w:r>
            <w:rPr>
              <w:b/>
              <w:bCs/>
            </w:rPr>
            <w:fldChar w:fldCharType="end"/>
          </w:r>
        </w:p>
      </w:sdtContent>
    </w:sdt>
    <w:p w:rsidR="007B70C2" w:rsidRPr="007B70C2" w:rsidRDefault="007B70C2"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7B70C2">
        <w:rPr>
          <w:rFonts w:ascii="Palatino Linotype" w:hAnsi="Palatino Linotype" w:cs="Arial"/>
        </w:rPr>
        <w:lastRenderedPageBreak/>
        <w:t>He concurrido con mi voto disidente de la presente resolución emitida por el Pleno del Instituto de Transparencia, Acceso a la Información Pública y Protección de Datos Personales del Estado de México y Municipios</w:t>
      </w:r>
      <w:r w:rsidRPr="007A4E77">
        <w:rPr>
          <w:rFonts w:ascii="Palatino Linotype" w:hAnsi="Palatino Linotype" w:cs="Arial"/>
        </w:rPr>
        <w:t xml:space="preserve">, </w:t>
      </w:r>
      <w:r w:rsidR="00BE7FDE">
        <w:rPr>
          <w:rFonts w:ascii="Palatino Linotype" w:hAnsi="Palatino Linotype" w:cs="Arial"/>
        </w:rPr>
        <w:t xml:space="preserve">en su </w:t>
      </w:r>
      <w:r w:rsidR="00411E99">
        <w:rPr>
          <w:rFonts w:ascii="Palatino Linotype" w:hAnsi="Palatino Linotype" w:cs="Arial"/>
        </w:rPr>
        <w:t>Trigésimo Segunda</w:t>
      </w:r>
      <w:r w:rsidR="00500365" w:rsidRPr="007A4E77">
        <w:rPr>
          <w:rFonts w:ascii="Palatino Linotype" w:hAnsi="Palatino Linotype" w:cs="Arial"/>
        </w:rPr>
        <w:t xml:space="preserve"> </w:t>
      </w:r>
      <w:r w:rsidR="00411E99">
        <w:rPr>
          <w:rFonts w:ascii="Palatino Linotype" w:hAnsi="Palatino Linotype" w:cs="Arial"/>
        </w:rPr>
        <w:t>S</w:t>
      </w:r>
      <w:r w:rsidRPr="007A4E77">
        <w:rPr>
          <w:rFonts w:ascii="Palatino Linotype" w:hAnsi="Palatino Linotype" w:cs="Arial"/>
        </w:rPr>
        <w:t xml:space="preserve">esión </w:t>
      </w:r>
      <w:r w:rsidR="00411E99">
        <w:rPr>
          <w:rFonts w:ascii="Palatino Linotype" w:hAnsi="Palatino Linotype" w:cs="Arial"/>
        </w:rPr>
        <w:t>O</w:t>
      </w:r>
      <w:r w:rsidRPr="007A4E77">
        <w:rPr>
          <w:rFonts w:ascii="Palatino Linotype" w:hAnsi="Palatino Linotype" w:cs="Arial"/>
        </w:rPr>
        <w:t xml:space="preserve">rdinaria </w:t>
      </w:r>
      <w:r w:rsidR="00FC0B18" w:rsidRPr="007A4E77">
        <w:rPr>
          <w:rFonts w:ascii="Palatino Linotype" w:hAnsi="Palatino Linotype" w:cs="Arial"/>
        </w:rPr>
        <w:t>celebrada el día</w:t>
      </w:r>
      <w:r w:rsidR="007A4E77" w:rsidRPr="007A4E77">
        <w:rPr>
          <w:rFonts w:ascii="Palatino Linotype" w:hAnsi="Palatino Linotype" w:cs="Arial"/>
        </w:rPr>
        <w:t xml:space="preserve"> </w:t>
      </w:r>
      <w:r w:rsidR="00411E99">
        <w:rPr>
          <w:rFonts w:ascii="Palatino Linotype" w:hAnsi="Palatino Linotype" w:cs="Arial"/>
        </w:rPr>
        <w:t>cinco</w:t>
      </w:r>
      <w:r w:rsidR="00E63F53">
        <w:rPr>
          <w:rFonts w:ascii="Palatino Linotype" w:hAnsi="Palatino Linotype" w:cs="Arial"/>
        </w:rPr>
        <w:t xml:space="preserve"> (</w:t>
      </w:r>
      <w:r w:rsidR="00411E99">
        <w:rPr>
          <w:rFonts w:ascii="Palatino Linotype" w:hAnsi="Palatino Linotype" w:cs="Arial"/>
        </w:rPr>
        <w:t>05</w:t>
      </w:r>
      <w:r w:rsidR="007A4E77" w:rsidRPr="007A4E77">
        <w:rPr>
          <w:rFonts w:ascii="Palatino Linotype" w:hAnsi="Palatino Linotype" w:cs="Arial"/>
        </w:rPr>
        <w:t xml:space="preserve">) de </w:t>
      </w:r>
      <w:r w:rsidR="00411E99">
        <w:rPr>
          <w:rFonts w:ascii="Palatino Linotype" w:hAnsi="Palatino Linotype" w:cs="Arial"/>
        </w:rPr>
        <w:t>septiembre</w:t>
      </w:r>
      <w:r w:rsidRPr="007A4E77">
        <w:rPr>
          <w:rFonts w:ascii="Palatino Linotype" w:hAnsi="Palatino Linotype" w:cs="Arial"/>
        </w:rPr>
        <w:t xml:space="preserve"> de dos mil </w:t>
      </w:r>
      <w:r w:rsidR="005917A9">
        <w:rPr>
          <w:rFonts w:ascii="Palatino Linotype" w:hAnsi="Palatino Linotype" w:cs="Arial"/>
        </w:rPr>
        <w:t>dieciocho</w:t>
      </w:r>
      <w:r w:rsidRPr="007A4E77">
        <w:rPr>
          <w:rFonts w:ascii="Palatino Linotype" w:hAnsi="Palatino Linotype" w:cs="Arial"/>
        </w:rPr>
        <w:t>, en el</w:t>
      </w:r>
      <w:r w:rsidRPr="007B70C2">
        <w:rPr>
          <w:rFonts w:ascii="Palatino Linotype" w:hAnsi="Palatino Linotype" w:cs="Arial"/>
        </w:rPr>
        <w:t xml:space="preserve"> recurso de revisión promovido por</w:t>
      </w:r>
      <w:r w:rsidR="00BB4EB8">
        <w:rPr>
          <w:rFonts w:ascii="Palatino Linotype" w:hAnsi="Palatino Linotype" w:cs="Arial"/>
        </w:rPr>
        <w:t xml:space="preserve"> </w:t>
      </w:r>
      <w:r w:rsidRPr="007B70C2">
        <w:rPr>
          <w:rFonts w:ascii="Palatino Linotype" w:hAnsi="Palatino Linotype" w:cs="Arial"/>
          <w:b/>
        </w:rPr>
        <w:t xml:space="preserve"> </w:t>
      </w:r>
      <w:r w:rsidR="003920D7" w:rsidRPr="003920D7">
        <w:rPr>
          <w:rFonts w:ascii="Palatino Linotype" w:hAnsi="Palatino Linotype" w:cs="Arial"/>
          <w:b/>
          <w:highlight w:val="black"/>
          <w:lang w:val="es-ES_tradnl"/>
        </w:rPr>
        <w:t>--------------------------</w:t>
      </w:r>
      <w:r w:rsidR="00BB4EB8" w:rsidRPr="00BB4EB8">
        <w:rPr>
          <w:rFonts w:ascii="Palatino Linotype" w:hAnsi="Palatino Linotype" w:cs="Arial"/>
          <w:b/>
        </w:rPr>
        <w:t xml:space="preserve"> </w:t>
      </w:r>
      <w:r w:rsidRPr="007B70C2">
        <w:rPr>
          <w:rFonts w:ascii="Palatino Linotype" w:hAnsi="Palatino Linotype" w:cs="Arial"/>
        </w:rPr>
        <w:t xml:space="preserve">procedimiento al que se asignó el número de expediente </w:t>
      </w:r>
      <w:r w:rsidR="00411E99">
        <w:rPr>
          <w:rFonts w:ascii="Palatino Linotype" w:hAnsi="Palatino Linotype" w:cs="Arial"/>
          <w:b/>
        </w:rPr>
        <w:t>01203</w:t>
      </w:r>
      <w:r w:rsidR="00C646A5">
        <w:rPr>
          <w:rFonts w:ascii="Palatino Linotype" w:hAnsi="Palatino Linotype" w:cs="Arial"/>
          <w:b/>
          <w:lang w:eastAsia="es-MX"/>
        </w:rPr>
        <w:t>/</w:t>
      </w:r>
      <w:r w:rsidR="00BB4EB8">
        <w:rPr>
          <w:rFonts w:ascii="Palatino Linotype" w:hAnsi="Palatino Linotype" w:cs="Arial"/>
          <w:b/>
          <w:lang w:eastAsia="es-MX"/>
        </w:rPr>
        <w:t>INFOEM/IP/RR/2018</w:t>
      </w:r>
      <w:r w:rsidR="00500365">
        <w:rPr>
          <w:rFonts w:ascii="Palatino Linotype" w:hAnsi="Palatino Linotype" w:cs="Arial"/>
          <w:b/>
          <w:lang w:eastAsia="es-MX"/>
        </w:rPr>
        <w:t>.</w:t>
      </w:r>
    </w:p>
    <w:p w:rsidR="007B70C2" w:rsidRPr="0060362D" w:rsidRDefault="007B70C2" w:rsidP="00BE7FDE">
      <w:pPr>
        <w:spacing w:line="360" w:lineRule="auto"/>
        <w:jc w:val="both"/>
        <w:rPr>
          <w:rFonts w:ascii="Palatino Linotype" w:hAnsi="Palatino Linotype" w:cs="Arial"/>
        </w:rPr>
      </w:pPr>
    </w:p>
    <w:p w:rsidR="007B70C2" w:rsidRDefault="007B70C2"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60362D">
        <w:rPr>
          <w:rFonts w:ascii="Palatino Linotype" w:hAnsi="Palatino Linotype" w:cs="Arial"/>
        </w:rPr>
        <w:t xml:space="preserve">Por los motivos y las razones de hecho y de derecho que se señalan a continuación y en términos de lo señalado por </w:t>
      </w:r>
      <w:r w:rsidR="00E12C1D">
        <w:rPr>
          <w:rFonts w:ascii="Palatino Linotype" w:hAnsi="Palatino Linotype" w:cs="Arial"/>
        </w:rPr>
        <w:t>el</w:t>
      </w:r>
      <w:r w:rsidRPr="0060362D">
        <w:rPr>
          <w:rFonts w:ascii="Palatino Linotype" w:hAnsi="Palatino Linotype" w:cs="Arial"/>
        </w:rPr>
        <w:t xml:space="preserve"> </w:t>
      </w:r>
      <w:r w:rsidR="00E12C1D">
        <w:rPr>
          <w:rFonts w:ascii="Palatino Linotype" w:hAnsi="Palatino Linotype" w:cs="Arial"/>
        </w:rPr>
        <w:t>artículo</w:t>
      </w:r>
      <w:r w:rsidRPr="00557948">
        <w:rPr>
          <w:rFonts w:ascii="Palatino Linotype" w:hAnsi="Palatino Linotype" w:cs="Arial"/>
        </w:rPr>
        <w:t xml:space="preserve"> </w:t>
      </w:r>
      <w:r w:rsidR="00E12C1D">
        <w:rPr>
          <w:rFonts w:ascii="Palatino Linotype" w:hAnsi="Palatino Linotype" w:cs="Arial"/>
        </w:rPr>
        <w:t>14</w:t>
      </w:r>
      <w:r w:rsidRPr="00557948">
        <w:rPr>
          <w:rFonts w:ascii="Palatino Linotype" w:hAnsi="Palatino Linotype" w:cs="Arial"/>
        </w:rPr>
        <w:t xml:space="preserve"> fracción </w:t>
      </w:r>
      <w:r w:rsidR="00E12C1D">
        <w:rPr>
          <w:rFonts w:ascii="Palatino Linotype" w:hAnsi="Palatino Linotype" w:cs="Arial"/>
        </w:rPr>
        <w:t>XI</w:t>
      </w:r>
      <w:r w:rsidRPr="00557948">
        <w:rPr>
          <w:rFonts w:ascii="Palatino Linotype" w:hAnsi="Palatino Linotype" w:cs="Arial"/>
        </w:rPr>
        <w:t xml:space="preserve"> del Reglamento Interior del Instituto de Transparencia y Acceso a la Información</w:t>
      </w:r>
      <w:r w:rsidRPr="0060362D">
        <w:rPr>
          <w:rFonts w:ascii="Palatino Linotype" w:hAnsi="Palatino Linotype" w:cs="Arial"/>
        </w:rPr>
        <w:t xml:space="preserve"> Pública del Estado de México y Municipios formulo el presente voto disidente. </w:t>
      </w:r>
    </w:p>
    <w:p w:rsidR="00C2025D" w:rsidRPr="0060362D" w:rsidRDefault="00C2025D" w:rsidP="00C202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493D5E" w:rsidRPr="00A2607C" w:rsidRDefault="007B70C2" w:rsidP="009541C4">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C2025D">
        <w:rPr>
          <w:rFonts w:ascii="Palatino Linotype" w:hAnsi="Palatino Linotype" w:cs="Arial"/>
          <w:color w:val="000000" w:themeColor="text1"/>
          <w:lang w:val="es-ES"/>
        </w:rPr>
        <w:t xml:space="preserve">Al </w:t>
      </w:r>
      <w:r w:rsidRPr="00C2025D">
        <w:rPr>
          <w:rFonts w:ascii="Palatino Linotype" w:hAnsi="Palatino Linotype" w:cs="Arial"/>
        </w:rPr>
        <w:t>presentar</w:t>
      </w:r>
      <w:r w:rsidRPr="00C2025D">
        <w:rPr>
          <w:rFonts w:ascii="Palatino Linotype" w:hAnsi="Palatino Linotype" w:cs="Arial"/>
          <w:color w:val="000000" w:themeColor="text1"/>
          <w:lang w:val="es-ES"/>
        </w:rPr>
        <w:t xml:space="preserve"> este voto disidente deseo manifestar lo que en su momento </w:t>
      </w:r>
      <w:r w:rsidR="00671712" w:rsidRPr="00C2025D">
        <w:rPr>
          <w:rFonts w:ascii="Palatino Linotype" w:hAnsi="Palatino Linotype" w:cs="Arial"/>
          <w:color w:val="000000" w:themeColor="text1"/>
          <w:lang w:val="es-ES"/>
        </w:rPr>
        <w:t xml:space="preserve">                                                                           </w:t>
      </w:r>
      <w:r w:rsidRPr="00C2025D">
        <w:rPr>
          <w:rFonts w:ascii="Palatino Linotype" w:hAnsi="Palatino Linotype" w:cs="Arial"/>
          <w:color w:val="000000" w:themeColor="text1"/>
          <w:lang w:val="es-ES"/>
        </w:rPr>
        <w:t>señalé durante la discusión de esta res</w:t>
      </w:r>
      <w:r w:rsidR="00FC0B18" w:rsidRPr="00C2025D">
        <w:rPr>
          <w:rFonts w:ascii="Palatino Linotype" w:hAnsi="Palatino Linotype" w:cs="Arial"/>
          <w:color w:val="000000" w:themeColor="text1"/>
          <w:lang w:val="es-ES"/>
        </w:rPr>
        <w:t>olución</w:t>
      </w:r>
      <w:r w:rsidR="007A4E77" w:rsidRPr="00C2025D">
        <w:rPr>
          <w:rFonts w:ascii="Palatino Linotype" w:hAnsi="Palatino Linotype" w:cs="Arial"/>
          <w:color w:val="000000" w:themeColor="text1"/>
          <w:lang w:val="es-ES"/>
        </w:rPr>
        <w:t xml:space="preserve"> en el Pleno de este</w:t>
      </w:r>
      <w:r w:rsidR="00493D5E" w:rsidRPr="00C2025D">
        <w:rPr>
          <w:rFonts w:ascii="Palatino Linotype" w:hAnsi="Palatino Linotype" w:cs="Arial"/>
          <w:color w:val="000000" w:themeColor="text1"/>
          <w:lang w:val="es-ES"/>
        </w:rPr>
        <w:t xml:space="preserve"> Órgano </w:t>
      </w:r>
      <w:r w:rsidR="007A4E77" w:rsidRPr="00C2025D">
        <w:rPr>
          <w:rFonts w:ascii="Palatino Linotype" w:hAnsi="Palatino Linotype" w:cs="Arial"/>
          <w:color w:val="000000" w:themeColor="text1"/>
          <w:lang w:val="es-ES"/>
        </w:rPr>
        <w:t>Garante, e</w:t>
      </w:r>
      <w:r w:rsidR="00FC0B18" w:rsidRPr="00C2025D">
        <w:rPr>
          <w:rFonts w:ascii="Palatino Linotype" w:hAnsi="Palatino Linotype" w:cs="Arial"/>
          <w:color w:val="000000" w:themeColor="text1"/>
          <w:lang w:val="es-ES"/>
        </w:rPr>
        <w:t>specificando que no comparto la decisión adoptada por la mayoría de los Comisionados integrantes del pleno, en el sentido de la resolución del recurso de revisión registrado con el número de expediente al rubro indicado.</w:t>
      </w:r>
    </w:p>
    <w:p w:rsidR="00C2025D" w:rsidRDefault="00F649A6" w:rsidP="00F649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noProof/>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5591175" cy="16668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91175" cy="166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F0411"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5pt" to="829.3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" strokecolor="black [3200]" strokeweight=".5pt">
                <v:stroke joinstyle="miter"/>
                <w10:wrap anchorx="margin"/>
              </v:line>
            </w:pict>
          </mc:Fallback>
        </mc:AlternateContent>
      </w:r>
    </w:p>
    <w:p w:rsidR="00F649A6" w:rsidRDefault="00F649A6" w:rsidP="00F649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649A6" w:rsidRDefault="00F649A6" w:rsidP="00F649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649A6" w:rsidRPr="00F649A6" w:rsidRDefault="00F649A6" w:rsidP="00F649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highlight w:val="yellow"/>
        </w:rPr>
      </w:pPr>
    </w:p>
    <w:p w:rsidR="00BB4EB8" w:rsidRDefault="00BB4EB8" w:rsidP="00BB4EB8">
      <w:pPr>
        <w:pStyle w:val="Ttulo2"/>
        <w:numPr>
          <w:ilvl w:val="0"/>
          <w:numId w:val="27"/>
        </w:numPr>
        <w:jc w:val="both"/>
        <w:rPr>
          <w:rFonts w:ascii="Palatino Linotype" w:hAnsi="Palatino Linotype"/>
          <w:b/>
          <w:color w:val="000000" w:themeColor="text1"/>
          <w:sz w:val="24"/>
          <w:szCs w:val="24"/>
          <w:lang w:val="es-ES"/>
        </w:rPr>
      </w:pPr>
      <w:bookmarkStart w:id="0" w:name="_Toc524355591"/>
      <w:r>
        <w:rPr>
          <w:rFonts w:ascii="Palatino Linotype" w:hAnsi="Palatino Linotype"/>
          <w:b/>
          <w:color w:val="000000" w:themeColor="text1"/>
          <w:sz w:val="24"/>
          <w:szCs w:val="24"/>
          <w:lang w:val="es-ES"/>
        </w:rPr>
        <w:lastRenderedPageBreak/>
        <w:t>De los Requerimientos</w:t>
      </w:r>
      <w:r w:rsidRPr="00B82DF9">
        <w:rPr>
          <w:rFonts w:ascii="Palatino Linotype" w:hAnsi="Palatino Linotype"/>
          <w:b/>
          <w:color w:val="000000" w:themeColor="text1"/>
          <w:sz w:val="24"/>
          <w:szCs w:val="24"/>
          <w:lang w:val="es-ES"/>
        </w:rPr>
        <w:t>.</w:t>
      </w:r>
      <w:bookmarkEnd w:id="0"/>
      <w:r w:rsidRPr="00B82DF9">
        <w:rPr>
          <w:rFonts w:ascii="Palatino Linotype" w:hAnsi="Palatino Linotype"/>
          <w:b/>
          <w:color w:val="000000" w:themeColor="text1"/>
          <w:sz w:val="24"/>
          <w:szCs w:val="24"/>
          <w:lang w:val="es-ES"/>
        </w:rPr>
        <w:t xml:space="preserve"> </w:t>
      </w:r>
    </w:p>
    <w:p w:rsidR="00A2607C" w:rsidRPr="00A2607C" w:rsidRDefault="00A2607C" w:rsidP="00A2607C">
      <w:pPr>
        <w:rPr>
          <w:lang w:val="es-ES"/>
        </w:rPr>
      </w:pPr>
    </w:p>
    <w:p w:rsidR="00BB4EB8" w:rsidRPr="00BB4EB8" w:rsidRDefault="00BB4EB8" w:rsidP="00BB4EB8">
      <w:pPr>
        <w:pStyle w:val="Prrafodelista"/>
        <w:ind w:left="1080"/>
        <w:rPr>
          <w:lang w:val="es-ES"/>
        </w:rPr>
      </w:pPr>
    </w:p>
    <w:p w:rsidR="00A2607C" w:rsidRPr="00A2607C" w:rsidRDefault="00493D5E"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i/>
          <w:szCs w:val="20"/>
        </w:rPr>
      </w:pPr>
      <w:r>
        <w:rPr>
          <w:rFonts w:ascii="Palatino Linotype" w:hAnsi="Palatino Linotype" w:cs="Arial"/>
        </w:rPr>
        <w:t>D</w:t>
      </w:r>
      <w:r w:rsidR="00BB4EB8" w:rsidRPr="00BB4EB8">
        <w:rPr>
          <w:rFonts w:ascii="Palatino Linotype" w:hAnsi="Palatino Linotype" w:cs="Arial"/>
        </w:rPr>
        <w:t xml:space="preserve">ebemos partir del hecho que </w:t>
      </w:r>
      <w:r w:rsidR="00411E99">
        <w:rPr>
          <w:rFonts w:ascii="Palatino Linotype" w:hAnsi="Palatino Linotype" w:cs="Arial"/>
        </w:rPr>
        <w:t>la</w:t>
      </w:r>
      <w:r w:rsidR="00BB4EB8" w:rsidRPr="00BB4EB8">
        <w:rPr>
          <w:rFonts w:ascii="Palatino Linotype" w:hAnsi="Palatino Linotype" w:cs="Arial"/>
        </w:rPr>
        <w:t xml:space="preserve"> particular</w:t>
      </w:r>
      <w:r w:rsidR="00A2607C">
        <w:rPr>
          <w:rFonts w:ascii="Palatino Linotype" w:hAnsi="Palatino Linotype" w:cs="Arial"/>
        </w:rPr>
        <w:t xml:space="preserve">, mediante la solicitud </w:t>
      </w:r>
      <w:r w:rsidR="00411E99">
        <w:rPr>
          <w:rFonts w:ascii="Palatino Linotype" w:hAnsi="Palatino Linotype" w:cs="Arial"/>
          <w:b/>
        </w:rPr>
        <w:t>00230</w:t>
      </w:r>
      <w:r w:rsidR="00A2607C">
        <w:rPr>
          <w:rFonts w:ascii="Palatino Linotype" w:hAnsi="Palatino Linotype" w:cs="Arial"/>
          <w:b/>
        </w:rPr>
        <w:t>/</w:t>
      </w:r>
      <w:r w:rsidR="00411E99">
        <w:rPr>
          <w:rFonts w:ascii="Palatino Linotype" w:hAnsi="Palatino Linotype" w:cs="Arial"/>
          <w:b/>
        </w:rPr>
        <w:t>FGK</w:t>
      </w:r>
      <w:r w:rsidR="00A2607C">
        <w:rPr>
          <w:rFonts w:ascii="Palatino Linotype" w:hAnsi="Palatino Linotype" w:cs="Arial"/>
          <w:b/>
        </w:rPr>
        <w:t>/IP/2018</w:t>
      </w:r>
      <w:r w:rsidR="00411E99">
        <w:rPr>
          <w:rFonts w:ascii="Palatino Linotype" w:hAnsi="Palatino Linotype" w:cs="Arial"/>
        </w:rPr>
        <w:t xml:space="preserve">, solicitó a la Fiscalía General de Justicia del Estado de México </w:t>
      </w:r>
      <w:r w:rsidR="00A2607C">
        <w:rPr>
          <w:rFonts w:ascii="Palatino Linotype" w:hAnsi="Palatino Linotype" w:cs="Arial"/>
        </w:rPr>
        <w:t>lo siguiente:</w:t>
      </w:r>
      <w:r w:rsidR="00BB4EB8" w:rsidRPr="00BB4EB8">
        <w:rPr>
          <w:rFonts w:ascii="Palatino Linotype" w:hAnsi="Palatino Linotype" w:cs="Arial"/>
        </w:rPr>
        <w:t xml:space="preserve"> </w:t>
      </w:r>
    </w:p>
    <w:p w:rsidR="00BB4EB8" w:rsidRPr="00A2607C" w:rsidRDefault="00A2607C" w:rsidP="00A2607C">
      <w:pPr>
        <w:pStyle w:val="Sinespaciado"/>
        <w:ind w:left="851" w:right="567"/>
        <w:jc w:val="both"/>
        <w:rPr>
          <w:rFonts w:ascii="Palatino Linotype" w:hAnsi="Palatino Linotype"/>
          <w:i/>
          <w:szCs w:val="20"/>
        </w:rPr>
      </w:pPr>
      <w:r w:rsidRPr="00A2607C">
        <w:rPr>
          <w:rFonts w:ascii="Palatino Linotype" w:hAnsi="Palatino Linotype"/>
          <w:i/>
        </w:rPr>
        <w:t>“</w:t>
      </w:r>
      <w:r w:rsidR="00411E99" w:rsidRPr="0038667B">
        <w:rPr>
          <w:rFonts w:ascii="Palatino Linotype" w:hAnsi="Palatino Linotype"/>
          <w:i/>
          <w:lang w:val="es-ES"/>
        </w:rPr>
        <w:t xml:space="preserve">Sufrí un accidente el día 05 de Abril del año 2008, siendo aproximadamente las 06:50 horas, al salir de mi centro trabajo, Hospital Regional 200 de Tecámac localizado en CARRETERA MÉX-PACHUCA, San Jerónimo Tecámac, municipio de Tecámac, Estado de México; a bordo de mi automóvil, circulando por la carretera federal México-Pachuca, con dirección a mi domicilio ubicado en calle </w:t>
      </w:r>
      <w:proofErr w:type="spellStart"/>
      <w:r w:rsidR="00411E99" w:rsidRPr="0038667B">
        <w:rPr>
          <w:rFonts w:ascii="Palatino Linotype" w:hAnsi="Palatino Linotype"/>
          <w:i/>
          <w:lang w:val="es-ES"/>
        </w:rPr>
        <w:t>Acozac</w:t>
      </w:r>
      <w:proofErr w:type="spellEnd"/>
      <w:r w:rsidR="00411E99" w:rsidRPr="0038667B">
        <w:rPr>
          <w:rFonts w:ascii="Palatino Linotype" w:hAnsi="Palatino Linotype"/>
          <w:i/>
          <w:lang w:val="es-ES"/>
        </w:rPr>
        <w:t xml:space="preserve"> 18, colonia Reyes </w:t>
      </w:r>
      <w:proofErr w:type="spellStart"/>
      <w:r w:rsidR="00411E99" w:rsidRPr="0038667B">
        <w:rPr>
          <w:rFonts w:ascii="Palatino Linotype" w:hAnsi="Palatino Linotype"/>
          <w:i/>
          <w:lang w:val="es-ES"/>
        </w:rPr>
        <w:t>Acozac</w:t>
      </w:r>
      <w:proofErr w:type="spellEnd"/>
      <w:r w:rsidR="00411E99" w:rsidRPr="0038667B">
        <w:rPr>
          <w:rFonts w:ascii="Palatino Linotype" w:hAnsi="Palatino Linotype"/>
          <w:i/>
          <w:lang w:val="es-ES"/>
        </w:rPr>
        <w:t>, Municipio de Tecámac, Estado de México; un trayecto aproximado de 10 minutos en auto; fui alcanzada por otro vehículo produciéndole un impacto posterior a mi auto, fui auxiliada por la Policía Federal de Caminos, y trasladada al H.G.S.Z 33 DE TIZAYUCA del Instituto Mexicano del Seguro Social, a las 07:38 horas para recibir la ate</w:t>
      </w:r>
      <w:r w:rsidR="00411E99">
        <w:rPr>
          <w:rFonts w:ascii="Palatino Linotype" w:hAnsi="Palatino Linotype"/>
          <w:i/>
          <w:lang w:val="es-ES"/>
        </w:rPr>
        <w:t xml:space="preserve">                                                                                                                                   </w:t>
      </w:r>
      <w:proofErr w:type="spellStart"/>
      <w:r w:rsidR="00411E99" w:rsidRPr="0038667B">
        <w:rPr>
          <w:rFonts w:ascii="Palatino Linotype" w:hAnsi="Palatino Linotype"/>
          <w:i/>
          <w:lang w:val="es-ES"/>
        </w:rPr>
        <w:t>nción</w:t>
      </w:r>
      <w:proofErr w:type="spellEnd"/>
      <w:r w:rsidR="00411E99" w:rsidRPr="0038667B">
        <w:rPr>
          <w:rFonts w:ascii="Palatino Linotype" w:hAnsi="Palatino Linotype"/>
          <w:i/>
          <w:lang w:val="es-ES"/>
        </w:rPr>
        <w:t xml:space="preserve"> médica. Además, se inició la denuncia ante el Ministerio Público de Tecámac con número de averiguación previa</w:t>
      </w:r>
      <w:r w:rsidR="000553E4">
        <w:rPr>
          <w:rFonts w:ascii="Palatino Linotype" w:hAnsi="Palatino Linotype"/>
          <w:i/>
          <w:lang w:val="es-ES"/>
        </w:rPr>
        <w:t xml:space="preserve"> TEC/III/1654/</w:t>
      </w:r>
      <w:proofErr w:type="gramStart"/>
      <w:r w:rsidR="000553E4">
        <w:rPr>
          <w:rFonts w:ascii="Palatino Linotype" w:hAnsi="Palatino Linotype"/>
          <w:i/>
          <w:lang w:val="es-ES"/>
        </w:rPr>
        <w:t>2008</w:t>
      </w:r>
      <w:r w:rsidR="00411E99" w:rsidRPr="0038667B">
        <w:rPr>
          <w:rFonts w:ascii="Palatino Linotype" w:hAnsi="Palatino Linotype"/>
          <w:i/>
          <w:lang w:val="es-ES"/>
        </w:rPr>
        <w:t xml:space="preserve"> ,</w:t>
      </w:r>
      <w:proofErr w:type="gramEnd"/>
      <w:r w:rsidR="00411E99" w:rsidRPr="0038667B">
        <w:rPr>
          <w:rFonts w:ascii="Palatino Linotype" w:hAnsi="Palatino Linotype"/>
          <w:i/>
          <w:lang w:val="es-ES"/>
        </w:rPr>
        <w:t xml:space="preserve"> así como del informe policial rendido por los agentes que me auxiliaron. SOLICITO ACCESO A LA AVERIGUACIÓN PREVIA CON EL NÚMERO MENC</w:t>
      </w:r>
      <w:bookmarkStart w:id="1" w:name="_GoBack"/>
      <w:bookmarkEnd w:id="1"/>
      <w:r w:rsidR="00411E99" w:rsidRPr="0038667B">
        <w:rPr>
          <w:rFonts w:ascii="Palatino Linotype" w:hAnsi="Palatino Linotype"/>
          <w:i/>
          <w:lang w:val="es-ES"/>
        </w:rPr>
        <w:t>IONADO</w:t>
      </w:r>
      <w:r w:rsidR="00411E99" w:rsidRPr="00EA25FD">
        <w:rPr>
          <w:rFonts w:ascii="Palatino Linotype" w:hAnsi="Palatino Linotype"/>
          <w:i/>
        </w:rPr>
        <w:t>.</w:t>
      </w:r>
      <w:r w:rsidRPr="00A2607C">
        <w:rPr>
          <w:rFonts w:ascii="Palatino Linotype" w:hAnsi="Palatino Linotype"/>
          <w:i/>
        </w:rPr>
        <w:t>”</w:t>
      </w:r>
      <w:r w:rsidR="00BB4EB8" w:rsidRPr="00A2607C">
        <w:rPr>
          <w:rFonts w:ascii="Palatino Linotype" w:hAnsi="Palatino Linotype"/>
          <w:i/>
          <w:color w:val="000000"/>
        </w:rPr>
        <w:t xml:space="preserve"> (Sic)</w:t>
      </w:r>
    </w:p>
    <w:p w:rsidR="000F1159" w:rsidRPr="000F1159" w:rsidRDefault="000F1159" w:rsidP="000F1159">
      <w:pPr>
        <w:pStyle w:val="Sinespaciado"/>
        <w:spacing w:line="360" w:lineRule="auto"/>
        <w:ind w:right="49"/>
        <w:jc w:val="both"/>
        <w:rPr>
          <w:rFonts w:ascii="Palatino Linotype" w:hAnsi="Palatino Linotype" w:cs="Arial"/>
          <w:i/>
          <w:szCs w:val="20"/>
        </w:rPr>
      </w:pPr>
    </w:p>
    <w:p w:rsidR="00314F1B" w:rsidRDefault="000F1159" w:rsidP="00BB4EB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szCs w:val="20"/>
        </w:rPr>
      </w:pPr>
      <w:r w:rsidRPr="000F1159">
        <w:rPr>
          <w:rFonts w:ascii="Palatino Linotype" w:hAnsi="Palatino Linotype" w:cs="Arial"/>
          <w:szCs w:val="20"/>
        </w:rPr>
        <w:t>Una vez señalado lo anterior es preciso enfat</w:t>
      </w:r>
      <w:r>
        <w:rPr>
          <w:rFonts w:ascii="Palatino Linotype" w:hAnsi="Palatino Linotype" w:cs="Arial"/>
          <w:szCs w:val="20"/>
        </w:rPr>
        <w:t>izar un aspecto que considero,</w:t>
      </w:r>
      <w:r w:rsidRPr="000F1159">
        <w:rPr>
          <w:rFonts w:ascii="Palatino Linotype" w:hAnsi="Palatino Linotype" w:cs="Arial"/>
          <w:szCs w:val="20"/>
        </w:rPr>
        <w:t xml:space="preserve"> es de </w:t>
      </w:r>
      <w:r w:rsidR="00FB0FE0">
        <w:rPr>
          <w:rFonts w:ascii="Palatino Linotype" w:hAnsi="Palatino Linotype" w:cs="Arial"/>
          <w:szCs w:val="20"/>
        </w:rPr>
        <w:t>toral</w:t>
      </w:r>
      <w:r w:rsidRPr="000F1159">
        <w:rPr>
          <w:rFonts w:ascii="Palatino Linotype" w:hAnsi="Palatino Linotype" w:cs="Arial"/>
          <w:szCs w:val="20"/>
        </w:rPr>
        <w:t xml:space="preserve"> relev</w:t>
      </w:r>
      <w:r w:rsidR="007A4E77">
        <w:rPr>
          <w:rFonts w:ascii="Palatino Linotype" w:hAnsi="Palatino Linotype" w:cs="Arial"/>
          <w:szCs w:val="20"/>
        </w:rPr>
        <w:t xml:space="preserve">ancia, </w:t>
      </w:r>
      <w:r w:rsidR="00CF34D9">
        <w:rPr>
          <w:rFonts w:ascii="Palatino Linotype" w:hAnsi="Palatino Linotype" w:cs="Arial"/>
          <w:szCs w:val="20"/>
        </w:rPr>
        <w:t>la</w:t>
      </w:r>
      <w:r w:rsidR="007A4E77">
        <w:rPr>
          <w:rFonts w:ascii="Palatino Linotype" w:hAnsi="Palatino Linotype" w:cs="Arial"/>
          <w:szCs w:val="20"/>
        </w:rPr>
        <w:t xml:space="preserve"> particular </w:t>
      </w:r>
      <w:r w:rsidR="00FB0FE0">
        <w:rPr>
          <w:rFonts w:ascii="Palatino Linotype" w:hAnsi="Palatino Linotype" w:cs="Arial"/>
          <w:szCs w:val="20"/>
        </w:rPr>
        <w:t xml:space="preserve">solicita </w:t>
      </w:r>
      <w:r w:rsidR="00CF34D9">
        <w:rPr>
          <w:rFonts w:ascii="Palatino Linotype" w:hAnsi="Palatino Linotype" w:cs="Arial"/>
          <w:szCs w:val="20"/>
        </w:rPr>
        <w:t>una acceso a datos personales, el cual si bien es cierto fue formulado a través del SAIMEX, dentro de la resolución se realizó el adecuado enderezamiento reconociendo que la solicitud de acceso a la información era en realidad una solicitud de ejercicio de derechos ARCO.</w:t>
      </w:r>
    </w:p>
    <w:p w:rsidR="00314F1B" w:rsidRDefault="00314F1B" w:rsidP="00314F1B">
      <w:pPr>
        <w:pStyle w:val="Prrafodelista"/>
        <w:rPr>
          <w:rFonts w:ascii="Palatino Linotype" w:hAnsi="Palatino Linotype" w:cs="Arial"/>
          <w:szCs w:val="20"/>
        </w:rPr>
      </w:pPr>
    </w:p>
    <w:p w:rsidR="00121E0C" w:rsidRDefault="00121E0C" w:rsidP="00121E0C">
      <w:pPr>
        <w:pStyle w:val="Prrafodelista"/>
      </w:pPr>
    </w:p>
    <w:p w:rsidR="007B70C2" w:rsidRPr="00B82DF9" w:rsidRDefault="007B70C2" w:rsidP="00B82DF9">
      <w:pPr>
        <w:pStyle w:val="Ttulo2"/>
        <w:jc w:val="both"/>
        <w:rPr>
          <w:rFonts w:ascii="Palatino Linotype" w:hAnsi="Palatino Linotype"/>
          <w:b/>
          <w:color w:val="000000" w:themeColor="text1"/>
          <w:sz w:val="24"/>
          <w:szCs w:val="24"/>
          <w:lang w:val="es-ES"/>
        </w:rPr>
      </w:pPr>
      <w:bookmarkStart w:id="2" w:name="_Toc524355592"/>
      <w:r w:rsidRPr="00B82DF9">
        <w:rPr>
          <w:rFonts w:ascii="Palatino Linotype" w:hAnsi="Palatino Linotype"/>
          <w:b/>
          <w:color w:val="000000" w:themeColor="text1"/>
          <w:sz w:val="24"/>
          <w:szCs w:val="24"/>
          <w:lang w:val="es-ES"/>
        </w:rPr>
        <w:t xml:space="preserve">II. </w:t>
      </w:r>
      <w:r w:rsidR="00075FD0">
        <w:rPr>
          <w:rFonts w:ascii="Palatino Linotype" w:hAnsi="Palatino Linotype"/>
          <w:b/>
          <w:color w:val="000000" w:themeColor="text1"/>
          <w:sz w:val="24"/>
          <w:szCs w:val="24"/>
          <w:lang w:val="es-ES"/>
        </w:rPr>
        <w:t>Los argumentos de la resolución aprobada.</w:t>
      </w:r>
      <w:bookmarkEnd w:id="2"/>
    </w:p>
    <w:p w:rsidR="0097464F" w:rsidRPr="0097464F" w:rsidRDefault="0097464F" w:rsidP="009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lang w:val="es-ES"/>
        </w:rPr>
      </w:pPr>
    </w:p>
    <w:p w:rsidR="00513B26" w:rsidRPr="00513B26" w:rsidRDefault="00CA63C3" w:rsidP="00CA63C3">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sidRPr="00CA63C3">
        <w:rPr>
          <w:rFonts w:ascii="Palatino Linotype" w:hAnsi="Palatino Linotype" w:cs="Arial"/>
        </w:rPr>
        <w:lastRenderedPageBreak/>
        <w:t xml:space="preserve">La </w:t>
      </w:r>
      <w:r w:rsidR="00C528C1" w:rsidRPr="00CA63C3">
        <w:rPr>
          <w:rFonts w:ascii="Palatino Linotype" w:hAnsi="Palatino Linotype" w:cs="Arial"/>
        </w:rPr>
        <w:t xml:space="preserve">Ponencia </w:t>
      </w:r>
      <w:r w:rsidRPr="00CA63C3">
        <w:rPr>
          <w:rFonts w:ascii="Palatino Linotype" w:hAnsi="Palatino Linotype" w:cs="Arial"/>
        </w:rPr>
        <w:t xml:space="preserve">resolutora </w:t>
      </w:r>
      <w:r w:rsidR="00513B26">
        <w:rPr>
          <w:rFonts w:ascii="Palatino Linotype" w:hAnsi="Palatino Linotype" w:cs="Arial"/>
        </w:rPr>
        <w:t xml:space="preserve">expuso las siguientes consideraciones: </w:t>
      </w:r>
    </w:p>
    <w:p w:rsidR="00513B26" w:rsidRPr="00513B26" w:rsidRDefault="003D4338" w:rsidP="00513B26">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 xml:space="preserve">El </w:t>
      </w:r>
      <w:r w:rsidR="00CF34D9">
        <w:rPr>
          <w:rFonts w:ascii="Palatino Linotype" w:eastAsia="Calibri" w:hAnsi="Palatino Linotype" w:cs="Arial"/>
        </w:rPr>
        <w:t>ejercicio de acceso a datos personales no es la vía adecuada para acceder a una averiguación previa.</w:t>
      </w:r>
    </w:p>
    <w:p w:rsidR="00513B26" w:rsidRDefault="00A76D58" w:rsidP="007E643F">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noProof/>
          <w:bdr w:val="none" w:sz="0" w:space="0" w:color="auto"/>
          <w:lang w:eastAsia="es-MX"/>
        </w:rPr>
        <mc:AlternateContent>
          <mc:Choice Requires="wps">
            <w:drawing>
              <wp:anchor distT="0" distB="0" distL="114300" distR="114300" simplePos="0" relativeHeight="251660288" behindDoc="0" locked="0" layoutInCell="1" allowOverlap="1">
                <wp:simplePos x="0" y="0"/>
                <wp:positionH relativeFrom="column">
                  <wp:posOffset>4444365</wp:posOffset>
                </wp:positionH>
                <wp:positionV relativeFrom="paragraph">
                  <wp:posOffset>33655</wp:posOffset>
                </wp:positionV>
                <wp:extent cx="1209675" cy="1619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209675" cy="161925"/>
                        </a:xfrm>
                        <a:prstGeom prst="rect">
                          <a:avLst/>
                        </a:prstGeom>
                        <a:solidFill>
                          <a:schemeClr val="tx1">
                            <a:lumMod val="95000"/>
                            <a:lumOff val="5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93942" id="Rectángulo 2" o:spid="_x0000_s1026" style="position:absolute;margin-left:349.95pt;margin-top:2.65pt;width:95.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" fillcolor="#0d0d0d [3069]" strokecolor="black [1600]" strokeweight="1pt"/>
            </w:pict>
          </mc:Fallback>
        </mc:AlternateContent>
      </w:r>
      <w:r w:rsidR="00CF34D9">
        <w:rPr>
          <w:rFonts w:ascii="Palatino Linotype" w:eastAsia="Calibri" w:hAnsi="Palatino Linotype" w:cs="Arial"/>
        </w:rPr>
        <w:t>En pro de poder acceder a la averiguación previa número</w:t>
      </w:r>
      <w:r>
        <w:rPr>
          <w:rFonts w:ascii="Palatino Linotype" w:eastAsia="Calibri" w:hAnsi="Palatino Linotype" w:cs="Arial"/>
        </w:rPr>
        <w:t xml:space="preserve">                             </w:t>
      </w:r>
      <w:r w:rsidR="00CF34D9">
        <w:rPr>
          <w:rFonts w:ascii="Palatino Linotype" w:eastAsia="Calibri" w:hAnsi="Palatino Linotype" w:cs="Arial"/>
        </w:rPr>
        <w:t>, es menester acreditar fehacientemente ser parte de la misma, acreditando para ello la personalidad jurídica ante el Ministerio Público que conoce de los hechos que se investigan.</w:t>
      </w:r>
    </w:p>
    <w:p w:rsidR="00CF34D9" w:rsidRPr="003D4338" w:rsidRDefault="00CF34D9" w:rsidP="007E643F">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La limitante en el acceso en vía del ejercicio de los derechos ARCO por parte del Órgano Garante a una averiguación previa resulta ser una medida debidamente justificada, idónea, necesaria y proporcional para que las investigaciones no se vean afectadas.</w:t>
      </w:r>
    </w:p>
    <w:p w:rsidR="00513B26" w:rsidRPr="00513B26" w:rsidRDefault="00513B26" w:rsidP="00513B2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16FF0" w:rsidRPr="0005393E" w:rsidRDefault="00513B26" w:rsidP="00016FF0">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s="Arial"/>
        </w:rPr>
      </w:pPr>
      <w:r w:rsidRPr="00016FF0">
        <w:rPr>
          <w:rFonts w:ascii="Palatino Linotype" w:hAnsi="Palatino Linotype" w:cs="Arial"/>
        </w:rPr>
        <w:t xml:space="preserve">Con base a lo anterior, </w:t>
      </w:r>
      <w:r w:rsidR="00CF34D9">
        <w:rPr>
          <w:rFonts w:ascii="Palatino Linotype" w:hAnsi="Palatino Linotype" w:cs="Arial"/>
        </w:rPr>
        <w:t xml:space="preserve">la ponencia resolutora determinó confirmar la respuesta del </w:t>
      </w:r>
      <w:r w:rsidR="00CF34D9">
        <w:rPr>
          <w:rFonts w:ascii="Palatino Linotype" w:hAnsi="Palatino Linotype" w:cs="Arial"/>
          <w:b/>
        </w:rPr>
        <w:t>SUJETO OBLIGADO</w:t>
      </w:r>
      <w:r w:rsidR="0005393E" w:rsidRPr="0005393E">
        <w:rPr>
          <w:rFonts w:ascii="Palatino Linotype" w:hAnsi="Palatino Linotype"/>
        </w:rPr>
        <w:t xml:space="preserve"> en atención a que el solicitar la información </w:t>
      </w:r>
      <w:r w:rsidR="0005393E">
        <w:rPr>
          <w:rFonts w:ascii="Palatino Linotype" w:hAnsi="Palatino Linotype"/>
        </w:rPr>
        <w:t xml:space="preserve">concerniente a una averiguación previa </w:t>
      </w:r>
      <w:r w:rsidR="0005393E" w:rsidRPr="0005393E">
        <w:rPr>
          <w:rFonts w:ascii="Palatino Linotype" w:hAnsi="Palatino Linotype"/>
        </w:rPr>
        <w:t>a través de SAIMEX o SARCOEM</w:t>
      </w:r>
      <w:r w:rsidR="0005393E">
        <w:rPr>
          <w:rFonts w:ascii="Palatino Linotype" w:hAnsi="Palatino Linotype"/>
        </w:rPr>
        <w:t xml:space="preserve"> no resulta ser la vía idónea para hacerlo.</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s="Arial"/>
        </w:rPr>
      </w:pPr>
    </w:p>
    <w:p w:rsidR="00B87C7F" w:rsidRDefault="00B87C7F" w:rsidP="00016FF0">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Situación</w:t>
      </w:r>
      <w:r w:rsidR="00016FF0">
        <w:rPr>
          <w:rFonts w:ascii="Palatino Linotype" w:eastAsia="Calibri" w:hAnsi="Palatino Linotype" w:cs="Arial"/>
        </w:rPr>
        <w:t xml:space="preserve"> la cual no comparto, </w:t>
      </w:r>
      <w:r>
        <w:rPr>
          <w:rFonts w:ascii="Palatino Linotype" w:eastAsia="Calibri" w:hAnsi="Palatino Linotype" w:cs="Arial"/>
        </w:rPr>
        <w:t xml:space="preserve">por lo siguientes señalamientos: </w:t>
      </w:r>
    </w:p>
    <w:p w:rsidR="003D4338" w:rsidRDefault="003D4338" w:rsidP="003D4338">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892B0B" w:rsidRPr="006B284E" w:rsidRDefault="0021451A" w:rsidP="0021451A">
      <w:pPr>
        <w:pStyle w:val="Ttulo2"/>
        <w:rPr>
          <w:rFonts w:ascii="Palatino Linotype" w:eastAsia="Arial Unicode MS" w:hAnsi="Palatino Linotype" w:cs="Arial"/>
          <w:b/>
          <w:color w:val="auto"/>
        </w:rPr>
      </w:pPr>
      <w:bookmarkStart w:id="3" w:name="_Toc517359255"/>
      <w:bookmarkStart w:id="4" w:name="_Toc524355593"/>
      <w:r>
        <w:rPr>
          <w:b/>
          <w:color w:val="auto"/>
          <w:sz w:val="28"/>
          <w:lang w:val="es-ES"/>
        </w:rPr>
        <w:t>III.</w:t>
      </w:r>
      <w:r w:rsidR="00892B0B" w:rsidRPr="006B284E">
        <w:rPr>
          <w:b/>
          <w:color w:val="auto"/>
          <w:sz w:val="28"/>
          <w:lang w:val="es-ES"/>
        </w:rPr>
        <w:t xml:space="preserve"> </w:t>
      </w:r>
      <w:r w:rsidR="008A1A85" w:rsidRPr="006B284E">
        <w:rPr>
          <w:b/>
          <w:color w:val="auto"/>
          <w:sz w:val="28"/>
          <w:lang w:val="es-ES"/>
        </w:rPr>
        <w:t xml:space="preserve"> </w:t>
      </w:r>
      <w:bookmarkEnd w:id="3"/>
      <w:r w:rsidR="0005393E">
        <w:rPr>
          <w:rFonts w:ascii="Palatino Linotype" w:eastAsia="Arial Unicode MS" w:hAnsi="Palatino Linotype" w:cs="Arial"/>
          <w:b/>
          <w:color w:val="auto"/>
        </w:rPr>
        <w:t>De los trámites en específico</w:t>
      </w:r>
      <w:r w:rsidR="008A1A85" w:rsidRPr="006B284E">
        <w:rPr>
          <w:rFonts w:ascii="Palatino Linotype" w:eastAsia="Arial Unicode MS" w:hAnsi="Palatino Linotype" w:cs="Arial"/>
          <w:b/>
          <w:color w:val="auto"/>
        </w:rPr>
        <w:t>.</w:t>
      </w:r>
      <w:bookmarkEnd w:id="4"/>
    </w:p>
    <w:p w:rsidR="00B87C7F" w:rsidRPr="00B87C7F" w:rsidRDefault="00B87C7F" w:rsidP="00202EE5">
      <w:pPr>
        <w:pStyle w:val="Prrafodelista"/>
        <w:rPr>
          <w:rFonts w:ascii="Palatino Linotype" w:eastAsia="Calibri" w:hAnsi="Palatino Linotype" w:cs="Arial"/>
        </w:rPr>
      </w:pPr>
    </w:p>
    <w:p w:rsidR="00272C54" w:rsidRPr="00BB2094" w:rsidRDefault="00272C54" w:rsidP="006B284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olor w:val="000000"/>
        </w:rPr>
      </w:pPr>
      <w:r w:rsidRPr="00BB2094">
        <w:rPr>
          <w:rFonts w:ascii="Palatino Linotype" w:hAnsi="Palatino Linotype" w:cs="Arial"/>
        </w:rPr>
        <w:t xml:space="preserve">En primer término es necesario reiterar que la solicitud de información planteada por </w:t>
      </w:r>
      <w:r w:rsidR="003920D7" w:rsidRPr="003920D7">
        <w:rPr>
          <w:rFonts w:ascii="Palatino Linotype" w:hAnsi="Palatino Linotype" w:cs="Arial"/>
          <w:b/>
          <w:highlight w:val="black"/>
        </w:rPr>
        <w:t>------------------------</w:t>
      </w:r>
      <w:r w:rsidRPr="00BB2094">
        <w:rPr>
          <w:rFonts w:ascii="Palatino Linotype" w:hAnsi="Palatino Linotype" w:cs="Arial"/>
        </w:rPr>
        <w:t xml:space="preserve">, consistió en </w:t>
      </w:r>
      <w:r w:rsidR="0005393E">
        <w:rPr>
          <w:rFonts w:ascii="Palatino Linotype" w:hAnsi="Palatino Linotype" w:cs="Arial"/>
        </w:rPr>
        <w:t xml:space="preserve">tener acceso a una averiguación </w:t>
      </w:r>
      <w:r w:rsidR="0005393E">
        <w:rPr>
          <w:rFonts w:ascii="Palatino Linotype" w:hAnsi="Palatino Linotype" w:cs="Arial"/>
        </w:rPr>
        <w:lastRenderedPageBreak/>
        <w:t>previa consecuencia de una denuncia realizada ante el Ministerio Público, en la que la particular presuntamente es parte</w:t>
      </w:r>
      <w:r w:rsidRPr="00BB2094">
        <w:rPr>
          <w:rFonts w:ascii="Palatino Linotype" w:hAnsi="Palatino Linotype"/>
          <w:color w:val="000000" w:themeColor="text1"/>
        </w:rPr>
        <w:t>.</w:t>
      </w:r>
    </w:p>
    <w:p w:rsidR="00272C54" w:rsidRPr="00BB2094" w:rsidRDefault="00272C54" w:rsidP="00272C54">
      <w:pPr>
        <w:pStyle w:val="Prrafodelista"/>
        <w:widowControl w:val="0"/>
        <w:autoSpaceDE w:val="0"/>
        <w:autoSpaceDN w:val="0"/>
        <w:adjustRightInd w:val="0"/>
        <w:spacing w:line="360" w:lineRule="auto"/>
        <w:ind w:left="426"/>
        <w:jc w:val="both"/>
        <w:rPr>
          <w:rFonts w:ascii="Palatino Linotype" w:hAnsi="Palatino Linotype"/>
          <w:color w:val="000000"/>
        </w:rPr>
      </w:pPr>
    </w:p>
    <w:p w:rsidR="00272C54" w:rsidRPr="00DB06A9" w:rsidRDefault="00272C54" w:rsidP="0039556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hAnsi="Palatino Linotype"/>
          <w:color w:val="000000"/>
        </w:rPr>
      </w:pPr>
      <w:r w:rsidRPr="00BB2094">
        <w:rPr>
          <w:rFonts w:ascii="Palatino Linotype" w:hAnsi="Palatino Linotype" w:cs="Arial"/>
        </w:rPr>
        <w:t>Bajo ese t</w:t>
      </w:r>
      <w:r w:rsidR="00DB06A9">
        <w:rPr>
          <w:rFonts w:ascii="Palatino Linotype" w:hAnsi="Palatino Linotype" w:cs="Arial"/>
        </w:rPr>
        <w:t xml:space="preserve">enor es necesario destacar que </w:t>
      </w:r>
      <w:r w:rsidR="0005393E">
        <w:rPr>
          <w:rFonts w:ascii="Palatino Linotype" w:hAnsi="Palatino Linotype" w:cs="Arial"/>
        </w:rPr>
        <w:t xml:space="preserve">si bien es cierto que el acceso a los documentos que integra una averiguación previa dependen de un trámite en específico que no puede ser realizado mediante el derecho de acceso a la información pública toda vez que únicamente las partes intervinientes en la averiguación previa pueden tener acceso a la misma; también se observa que el </w:t>
      </w:r>
      <w:r w:rsidR="0005393E">
        <w:rPr>
          <w:rFonts w:ascii="Palatino Linotype" w:hAnsi="Palatino Linotype" w:cs="Arial"/>
          <w:b/>
        </w:rPr>
        <w:t>SUJETO OBLIGADO</w:t>
      </w:r>
      <w:r w:rsidR="0005393E">
        <w:rPr>
          <w:rFonts w:ascii="Palatino Linotype" w:hAnsi="Palatino Linotype" w:cs="Arial"/>
        </w:rPr>
        <w:t xml:space="preserve"> en su respuesta reconoce a la particular como </w:t>
      </w:r>
      <w:r w:rsidR="0005393E">
        <w:rPr>
          <w:rFonts w:ascii="Palatino Linotype" w:hAnsi="Palatino Linotype" w:cs="Arial"/>
          <w:b/>
        </w:rPr>
        <w:t>DENUNCIANTE</w:t>
      </w:r>
      <w:r w:rsidR="0005393E">
        <w:rPr>
          <w:rFonts w:ascii="Palatino Linotype" w:hAnsi="Palatino Linotype" w:cs="Arial"/>
        </w:rPr>
        <w:t xml:space="preserve">, y en ese sentido, éste Instituto de Transparencia, Acceso a la Información Pública y Protección de Datos Personales del Estado de México y Municipios debe considerar que los documentos a los cuales pretende acceder la hoy </w:t>
      </w:r>
      <w:r w:rsidR="0005393E">
        <w:rPr>
          <w:rFonts w:ascii="Palatino Linotype" w:hAnsi="Palatino Linotype" w:cs="Arial"/>
          <w:b/>
        </w:rPr>
        <w:t>RECURRENTE</w:t>
      </w:r>
      <w:r w:rsidR="0005393E">
        <w:rPr>
          <w:rFonts w:ascii="Palatino Linotype" w:hAnsi="Palatino Linotype" w:cs="Arial"/>
        </w:rPr>
        <w:t xml:space="preserve"> pueden ser entregados a través del ejercicio de derechos ARCO y pudieran ser solicitados vía acceso a datos.</w:t>
      </w:r>
    </w:p>
    <w:p w:rsidR="00DB06A9" w:rsidRPr="005214ED" w:rsidRDefault="00DB06A9" w:rsidP="00DB06A9">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hAnsi="Palatino Linotype"/>
          <w:color w:val="000000"/>
        </w:rPr>
      </w:pPr>
    </w:p>
    <w:p w:rsidR="00A30AD1" w:rsidRDefault="0005393E"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Así las cosas, es necesario puntualiza</w:t>
      </w:r>
      <w:r w:rsidR="007A4390">
        <w:rPr>
          <w:rFonts w:ascii="Palatino Linotype" w:eastAsia="Calibri" w:hAnsi="Palatino Linotype" w:cs="Arial"/>
        </w:rPr>
        <w:t>r</w:t>
      </w:r>
      <w:r>
        <w:rPr>
          <w:rFonts w:ascii="Palatino Linotype" w:eastAsia="Calibri" w:hAnsi="Palatino Linotype" w:cs="Arial"/>
        </w:rPr>
        <w:t xml:space="preserve"> que </w:t>
      </w:r>
      <w:r w:rsidR="007A4390" w:rsidRPr="00E643A3">
        <w:rPr>
          <w:rFonts w:ascii="Palatino Linotype" w:hAnsi="Palatino Linotype" w:cs="Arial"/>
          <w:color w:val="000000"/>
          <w:lang w:eastAsia="es-MX"/>
        </w:rPr>
        <w:t xml:space="preserve">los particulares no son expertos en la materia y en ocasiones desconocen la vía para poder tener acceso a documentos en los que constan sus datos personales o el trámite procedente a realizarse para obtener una copia de su expediente de forma íntegra, por esa razón a </w:t>
      </w:r>
      <w:r w:rsidR="007A4390" w:rsidRPr="007A4390">
        <w:rPr>
          <w:rFonts w:ascii="Palatino Linotype" w:hAnsi="Palatino Linotype" w:cs="Arial"/>
          <w:color w:val="000000"/>
          <w:lang w:eastAsia="es-MX"/>
        </w:rPr>
        <w:t xml:space="preserve">fin de tutelar las garantías de eficacia, prontitud y </w:t>
      </w:r>
      <w:proofErr w:type="spellStart"/>
      <w:r w:rsidR="007A4390" w:rsidRPr="007A4390">
        <w:rPr>
          <w:rFonts w:ascii="Palatino Linotype" w:hAnsi="Palatino Linotype" w:cs="Arial"/>
          <w:color w:val="000000"/>
          <w:lang w:eastAsia="es-MX"/>
        </w:rPr>
        <w:t>expeditéz</w:t>
      </w:r>
      <w:proofErr w:type="spellEnd"/>
      <w:r w:rsidR="007A4390" w:rsidRPr="007A4390">
        <w:rPr>
          <w:rFonts w:ascii="Palatino Linotype" w:hAnsi="Palatino Linotype" w:cs="Arial"/>
          <w:color w:val="000000"/>
          <w:lang w:eastAsia="es-MX"/>
        </w:rPr>
        <w:t xml:space="preserve"> que nos mandata la Constitución Política de los Estados Unidos Mexicanos</w:t>
      </w:r>
      <w:r w:rsidR="007A4390" w:rsidRPr="00E643A3">
        <w:rPr>
          <w:rFonts w:ascii="Palatino Linotype" w:hAnsi="Palatino Linotype" w:cs="Arial"/>
          <w:color w:val="000000"/>
          <w:lang w:eastAsia="es-MX"/>
        </w:rPr>
        <w:t xml:space="preserve"> se </w:t>
      </w:r>
      <w:r w:rsidR="007A4390">
        <w:rPr>
          <w:rFonts w:ascii="Palatino Linotype" w:hAnsi="Palatino Linotype" w:cs="Arial"/>
          <w:color w:val="000000"/>
          <w:lang w:eastAsia="es-MX"/>
        </w:rPr>
        <w:t>debe reconducir</w:t>
      </w:r>
      <w:r w:rsidR="007A4390" w:rsidRPr="00E643A3">
        <w:rPr>
          <w:rFonts w:ascii="Palatino Linotype" w:hAnsi="Palatino Linotype" w:cs="Arial"/>
          <w:color w:val="000000"/>
          <w:lang w:eastAsia="es-MX"/>
        </w:rPr>
        <w:t xml:space="preserve"> la vía hacia un derecho distinto también tutelado por éste </w:t>
      </w:r>
      <w:r w:rsidR="007A4390">
        <w:rPr>
          <w:rFonts w:ascii="Palatino Linotype" w:hAnsi="Palatino Linotype" w:cs="Arial"/>
          <w:color w:val="000000"/>
          <w:lang w:eastAsia="es-MX"/>
        </w:rPr>
        <w:t>órgano Garante, tal como lo</w:t>
      </w:r>
      <w:r w:rsidR="00C94BC1">
        <w:rPr>
          <w:rFonts w:ascii="Palatino Linotype" w:hAnsi="Palatino Linotype" w:cs="Arial"/>
          <w:color w:val="000000"/>
          <w:lang w:eastAsia="es-MX"/>
        </w:rPr>
        <w:t xml:space="preserve"> </w:t>
      </w:r>
      <w:r w:rsidR="007A4390">
        <w:rPr>
          <w:rFonts w:ascii="Palatino Linotype" w:hAnsi="Palatino Linotype" w:cs="Arial"/>
          <w:color w:val="000000"/>
          <w:lang w:eastAsia="es-MX"/>
        </w:rPr>
        <w:lastRenderedPageBreak/>
        <w:t>realizó la ponencia resolutora.</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A4390"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Partiendo de lo anterior, resulta conveniente mencionar que en artículo 8 de la Ley de Trasparencia y Acceso a la Información Pública del Estado de México y Municipios </w:t>
      </w:r>
      <w:r w:rsidR="00C1474A">
        <w:rPr>
          <w:rFonts w:ascii="Palatino Linotype" w:eastAsia="Calibri" w:hAnsi="Palatino Linotype" w:cs="Arial"/>
        </w:rPr>
        <w:t>dicta</w:t>
      </w:r>
      <w:r>
        <w:rPr>
          <w:rFonts w:ascii="Palatino Linotype" w:eastAsia="Calibri" w:hAnsi="Palatino Linotype" w:cs="Arial"/>
        </w:rPr>
        <w:t xml:space="preserve"> que para la aplicación e interpretación de la Ley deberá prevalecer el principio de </w:t>
      </w:r>
      <w:r>
        <w:rPr>
          <w:rFonts w:ascii="Palatino Linotype" w:eastAsia="Calibri" w:hAnsi="Palatino Linotype" w:cs="Arial"/>
          <w:b/>
        </w:rPr>
        <w:t>máxima publicidad</w:t>
      </w:r>
      <w:r>
        <w:rPr>
          <w:rFonts w:ascii="Palatino Linotype" w:eastAsia="Calibri" w:hAnsi="Palatino Linotype" w:cs="Arial"/>
        </w:rPr>
        <w:t xml:space="preserve"> al tenor siguiente:</w:t>
      </w:r>
    </w:p>
    <w:p w:rsidR="00C1474A" w:rsidRDefault="00C1474A" w:rsidP="00C1474A">
      <w:pPr>
        <w:pStyle w:val="Sinespaciado"/>
        <w:ind w:left="851" w:right="567"/>
        <w:jc w:val="both"/>
        <w:rPr>
          <w:rFonts w:ascii="Palatino Linotype" w:hAnsi="Palatino Linotype"/>
          <w:i/>
          <w:sz w:val="20"/>
        </w:rPr>
      </w:pPr>
      <w:r>
        <w:rPr>
          <w:rFonts w:ascii="Palatino Linotype" w:hAnsi="Palatino Linotype"/>
          <w:i/>
          <w:sz w:val="20"/>
        </w:rPr>
        <w:t>“</w:t>
      </w:r>
      <w:r w:rsidRPr="00C1474A">
        <w:rPr>
          <w:rFonts w:ascii="Palatino Linotype" w:hAnsi="Palatino Linotype"/>
          <w:b/>
          <w:i/>
          <w:sz w:val="20"/>
        </w:rPr>
        <w:t>Artículo 8.</w:t>
      </w:r>
      <w:r w:rsidRPr="00C1474A">
        <w:rPr>
          <w:rFonts w:ascii="Palatino Linotype" w:hAnsi="Palatino Linotype"/>
          <w:i/>
          <w:sz w:val="20"/>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1474A" w:rsidRDefault="00C1474A" w:rsidP="00C1474A">
      <w:pPr>
        <w:pStyle w:val="Sinespaciado"/>
        <w:ind w:left="851" w:right="567"/>
        <w:jc w:val="both"/>
        <w:rPr>
          <w:rFonts w:ascii="Palatino Linotype" w:hAnsi="Palatino Linotype"/>
          <w:i/>
          <w:sz w:val="20"/>
        </w:rPr>
      </w:pPr>
      <w:r w:rsidRPr="00C1474A">
        <w:rPr>
          <w:rFonts w:ascii="Palatino Linotype" w:hAnsi="Palatino Linotype"/>
          <w:b/>
          <w:i/>
          <w:sz w:val="20"/>
        </w:rPr>
        <w:t>En la aplicación e interpretación de la presente Ley deberá prevalecer el principio de máxima publicidad,</w:t>
      </w:r>
      <w:r w:rsidRPr="00C1474A">
        <w:rPr>
          <w:rFonts w:ascii="Palatino Linotype" w:hAnsi="Palatino Linotype"/>
          <w:i/>
          <w:sz w:val="20"/>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w:t>
      </w:r>
      <w:r w:rsidRPr="00C1474A">
        <w:rPr>
          <w:rFonts w:ascii="Palatino Linotype" w:hAnsi="Palatino Linotype"/>
          <w:b/>
          <w:i/>
          <w:sz w:val="20"/>
        </w:rPr>
        <w:t xml:space="preserve">, favoreciendo en todo tiempo a las personas la protección más amplia, atendiendo al principio </w:t>
      </w:r>
      <w:proofErr w:type="spellStart"/>
      <w:r w:rsidRPr="00C1474A">
        <w:rPr>
          <w:rFonts w:ascii="Palatino Linotype" w:hAnsi="Palatino Linotype"/>
          <w:b/>
          <w:i/>
          <w:sz w:val="20"/>
        </w:rPr>
        <w:t>pro</w:t>
      </w:r>
      <w:proofErr w:type="spellEnd"/>
      <w:r w:rsidRPr="00C1474A">
        <w:rPr>
          <w:rFonts w:ascii="Palatino Linotype" w:hAnsi="Palatino Linotype"/>
          <w:b/>
          <w:i/>
          <w:sz w:val="20"/>
        </w:rPr>
        <w:t xml:space="preserve"> persona.</w:t>
      </w:r>
      <w:r w:rsidRPr="00C1474A">
        <w:rPr>
          <w:rFonts w:ascii="Palatino Linotype" w:hAnsi="Palatino Linotype"/>
          <w:i/>
          <w:sz w:val="20"/>
        </w:rPr>
        <w:t xml:space="preserve"> </w:t>
      </w:r>
    </w:p>
    <w:p w:rsidR="0005393E" w:rsidRDefault="00C1474A" w:rsidP="00C1474A">
      <w:pPr>
        <w:pStyle w:val="Sinespaciado"/>
        <w:ind w:left="851" w:right="567"/>
        <w:jc w:val="both"/>
        <w:rPr>
          <w:rFonts w:ascii="Palatino Linotype" w:hAnsi="Palatino Linotype"/>
          <w:i/>
          <w:sz w:val="20"/>
        </w:rPr>
      </w:pPr>
      <w:r w:rsidRPr="00C1474A">
        <w:rPr>
          <w:rFonts w:ascii="Palatino Linotype" w:hAnsi="Palatino Linotype"/>
          <w:i/>
          <w:sz w:val="20"/>
        </w:rPr>
        <w:t>Para el caso de la interpretación se podrá tomar en cuenta los criterios, determinaciones y opiniones de los organismos nacionales e internacionales, en materia de transparencia y el derecho de acceso a la información.</w:t>
      </w:r>
      <w:r>
        <w:rPr>
          <w:rFonts w:ascii="Palatino Linotype" w:hAnsi="Palatino Linotype"/>
          <w:i/>
          <w:sz w:val="20"/>
        </w:rPr>
        <w:t>”</w:t>
      </w:r>
    </w:p>
    <w:p w:rsidR="00C1474A" w:rsidRDefault="00C1474A" w:rsidP="00C1474A">
      <w:pPr>
        <w:pStyle w:val="Sinespaciado"/>
        <w:ind w:left="851" w:right="567"/>
        <w:jc w:val="both"/>
        <w:rPr>
          <w:rFonts w:ascii="Palatino Linotype" w:hAnsi="Palatino Linotype"/>
          <w:sz w:val="20"/>
        </w:rPr>
      </w:pPr>
      <w:r>
        <w:rPr>
          <w:rFonts w:ascii="Palatino Linotype" w:hAnsi="Palatino Linotype"/>
          <w:sz w:val="20"/>
        </w:rPr>
        <w:t>(Énfasis añadido)</w:t>
      </w:r>
    </w:p>
    <w:p w:rsidR="00C1474A" w:rsidRPr="00C1474A" w:rsidRDefault="00C1474A" w:rsidP="00C1474A">
      <w:pPr>
        <w:pStyle w:val="Sinespaciado"/>
        <w:ind w:left="851" w:right="567"/>
        <w:jc w:val="both"/>
        <w:rPr>
          <w:rFonts w:ascii="Palatino Linotype" w:eastAsia="Calibri" w:hAnsi="Palatino Linotype" w:cs="Arial"/>
          <w:sz w:val="20"/>
        </w:rPr>
      </w:pPr>
    </w:p>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tal sentido, </w:t>
      </w:r>
      <w:r w:rsidRPr="00476DFF">
        <w:rPr>
          <w:rFonts w:ascii="Palatino Linotype" w:hAnsi="Palatino Linotype" w:cs="Arial"/>
          <w:lang w:eastAsia="es-MX"/>
        </w:rPr>
        <w:t>es conveniente invocar la tesis 1a. CCCXXVII/2014 (10a.) emitida por la Primera Sala de la Suprema Corte de Justicia de la Nación, cuyo sentido es el siguiente:</w:t>
      </w:r>
    </w:p>
    <w:p w:rsidR="0005393E" w:rsidRPr="00C1474A" w:rsidRDefault="00C1474A" w:rsidP="00C1474A">
      <w:pPr>
        <w:pStyle w:val="Sinespaciado"/>
        <w:ind w:left="851" w:right="567"/>
        <w:jc w:val="both"/>
        <w:rPr>
          <w:rFonts w:ascii="Palatino Linotype" w:hAnsi="Palatino Linotype"/>
          <w:i/>
        </w:rPr>
      </w:pPr>
      <w:r w:rsidRPr="00C1474A">
        <w:rPr>
          <w:rFonts w:ascii="Palatino Linotype" w:hAnsi="Palatino Linotype"/>
          <w:b/>
          <w:i/>
        </w:rPr>
        <w:t>PRINCIPIO PRO PERSONA. REQUISITOS MÍNIMOS PARA QUE SE ATIENDA EL FONDO DE LA SOLICITUD DE SU APLICACIÓN, O LA IMPUGNACIÓN DE SU OMISIÓN POR LA AUTORIDAD RESPONSABLE</w:t>
      </w:r>
      <w:r w:rsidRPr="00C1474A">
        <w:rPr>
          <w:rFonts w:ascii="Palatino Linotype" w:hAnsi="Palatino Linotype"/>
          <w:i/>
        </w:rPr>
        <w:t>.</w:t>
      </w:r>
      <w:r>
        <w:rPr>
          <w:rFonts w:ascii="Palatino Linotype" w:hAnsi="Palatino Linotype"/>
          <w:i/>
        </w:rPr>
        <w:t xml:space="preserve"> “</w:t>
      </w:r>
      <w:r w:rsidRPr="00C1474A">
        <w:rPr>
          <w:rFonts w:ascii="Palatino Linotype" w:hAnsi="Palatino Linotype"/>
          <w:i/>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w:t>
      </w:r>
      <w:r w:rsidRPr="00C1474A">
        <w:rPr>
          <w:rFonts w:ascii="Palatino Linotype" w:hAnsi="Palatino Linotype"/>
          <w:i/>
        </w:rPr>
        <w:lastRenderedPageBreak/>
        <w:t xml:space="preserve">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C1474A">
        <w:rPr>
          <w:rFonts w:ascii="Palatino Linotype" w:hAnsi="Palatino Linotype"/>
          <w:i/>
        </w:rPr>
        <w:t>pro</w:t>
      </w:r>
      <w:proofErr w:type="spellEnd"/>
      <w:r w:rsidRPr="00C1474A">
        <w:rPr>
          <w:rFonts w:ascii="Palatino Linotype" w:hAnsi="Palatino Linotype"/>
          <w:i/>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Pr>
          <w:rFonts w:ascii="Palatino Linotype" w:hAnsi="Palatino Linotype"/>
          <w:i/>
        </w:rPr>
        <w:t>”</w:t>
      </w:r>
    </w:p>
    <w:p w:rsidR="00C1474A" w:rsidRDefault="00C1474A"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otras palabras, </w:t>
      </w:r>
      <w:r w:rsidRPr="00D122F9">
        <w:rPr>
          <w:rFonts w:ascii="Palatino Linotype" w:hAnsi="Palatino Linotype"/>
        </w:rPr>
        <w:t xml:space="preserve">favoreciendo la protección más amplia posible a favor de la persona, de conformidad con los principios de universalidad, interdependencia, indivisibilidad y progresividad, estimando la observancia de las </w:t>
      </w:r>
      <w:proofErr w:type="spellStart"/>
      <w:r>
        <w:rPr>
          <w:rFonts w:ascii="Palatino Linotype" w:hAnsi="Palatino Linotype"/>
        </w:rPr>
        <w:t>sub</w:t>
      </w:r>
      <w:r w:rsidRPr="00D122F9">
        <w:rPr>
          <w:rFonts w:ascii="Palatino Linotype" w:hAnsi="Palatino Linotype"/>
        </w:rPr>
        <w:t>garantías</w:t>
      </w:r>
      <w:proofErr w:type="spellEnd"/>
      <w:r w:rsidRPr="00D122F9">
        <w:rPr>
          <w:rFonts w:ascii="Palatino Linotype" w:hAnsi="Palatino Linotype"/>
        </w:rPr>
        <w:t xml:space="preserve"> de prontitud, eficacia y </w:t>
      </w:r>
      <w:proofErr w:type="spellStart"/>
      <w:r w:rsidRPr="00D122F9">
        <w:rPr>
          <w:rFonts w:ascii="Palatino Linotype" w:hAnsi="Palatino Linotype"/>
        </w:rPr>
        <w:t>expeditéz</w:t>
      </w:r>
      <w:proofErr w:type="spellEnd"/>
      <w:r w:rsidRPr="00D122F9">
        <w:rPr>
          <w:rFonts w:ascii="Palatino Linotype" w:hAnsi="Palatino Linotype"/>
        </w:rPr>
        <w:t xml:space="preserve"> se </w:t>
      </w:r>
      <w:r>
        <w:rPr>
          <w:rFonts w:ascii="Palatino Linotype" w:hAnsi="Palatino Linotype"/>
        </w:rPr>
        <w:t>debió haber ordenado la entrega de la información a través del SAIMEX previa acreditación de la personalidad;</w:t>
      </w:r>
      <w:r w:rsidRPr="00D122F9">
        <w:rPr>
          <w:rFonts w:ascii="Palatino Linotype" w:hAnsi="Palatino Linotype"/>
        </w:rPr>
        <w:t xml:space="preserve"> </w:t>
      </w:r>
      <w:r w:rsidRPr="00D122F9">
        <w:rPr>
          <w:rFonts w:ascii="Palatino Linotype" w:hAnsi="Palatino Linotype"/>
        </w:rPr>
        <w:lastRenderedPageBreak/>
        <w:t>robustece lo anteriormente expuesto la siguiente tesis jurisprudencial, que a la letra dice:</w:t>
      </w:r>
    </w:p>
    <w:p w:rsidR="0005393E" w:rsidRPr="00C1474A" w:rsidRDefault="00C1474A" w:rsidP="00C1474A">
      <w:pPr>
        <w:pStyle w:val="Sinespaciado"/>
        <w:ind w:left="851" w:right="567"/>
        <w:jc w:val="both"/>
        <w:rPr>
          <w:rFonts w:ascii="Palatino Linotype" w:eastAsia="Calibri" w:hAnsi="Palatino Linotype" w:cs="Arial"/>
          <w:i/>
        </w:rPr>
      </w:pPr>
      <w:r w:rsidRPr="00C1474A">
        <w:rPr>
          <w:rFonts w:ascii="Palatino Linotype" w:hAnsi="Palatino Linotype"/>
          <w:b/>
          <w:i/>
        </w:rPr>
        <w:t>SUBGARANTÍAS DE PRONTITUD, EFICACIA Y EXPEDITEZ CONTENIDAS EN EL SEGUNDO PÁRRAFO DEL ARTÍCULO 17 DE LA CONSTITUCIÓN FEDERAL. NO SON PRIVATIVAS DEL ÁMBITO JUDICIAL, SINO QUE SU DIMENSIÓN DE ACCESO A LA JUSTICIA COMPRENDE LOS PROCEDIMIENTOS ADMINISTRATIVOS DE CARÁCTER NO CONTENCIOSO SEGUIDOS ANTE LAS DEPENDENCIAS DEL PODER EJECUTIVO.</w:t>
      </w:r>
      <w:r w:rsidRPr="00C1474A">
        <w:rPr>
          <w:rFonts w:ascii="Palatino Linotype" w:hAnsi="Palatino Linotype"/>
          <w:i/>
        </w:rPr>
        <w:t xml:space="preserve"> </w:t>
      </w:r>
      <w:r>
        <w:rPr>
          <w:rFonts w:ascii="Palatino Linotype" w:hAnsi="Palatino Linotype"/>
          <w:i/>
        </w:rPr>
        <w:t>“</w:t>
      </w:r>
      <w:r w:rsidRPr="00C1474A">
        <w:rPr>
          <w:rFonts w:ascii="Palatino Linotype" w:hAnsi="Palatino Linotype"/>
          <w:i/>
        </w:rPr>
        <w:t xml:space="preserve">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C1474A">
        <w:rPr>
          <w:rFonts w:ascii="Palatino Linotype" w:hAnsi="Palatino Linotype"/>
          <w:i/>
        </w:rPr>
        <w:t>subgarantías</w:t>
      </w:r>
      <w:proofErr w:type="spellEnd"/>
      <w:r w:rsidRPr="00C1474A">
        <w:rPr>
          <w:rFonts w:ascii="Palatino Linotype" w:hAnsi="Palatino Linotype"/>
          <w:i/>
        </w:rPr>
        <w:t xml:space="preserve"> de prontitud, eficacia y </w:t>
      </w:r>
      <w:proofErr w:type="spellStart"/>
      <w:r w:rsidRPr="00C1474A">
        <w:rPr>
          <w:rFonts w:ascii="Palatino Linotype" w:hAnsi="Palatino Linotype"/>
          <w:i/>
        </w:rPr>
        <w:t>expeditez</w:t>
      </w:r>
      <w:proofErr w:type="spellEnd"/>
      <w:r w:rsidRPr="00C1474A">
        <w:rPr>
          <w:rFonts w:ascii="Palatino Linotype" w:hAnsi="Palatino Linotype"/>
          <w:i/>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C1474A">
        <w:rPr>
          <w:rFonts w:ascii="Palatino Linotype" w:hAnsi="Palatino Linotype"/>
          <w:i/>
        </w:rPr>
        <w:t>subgarantías</w:t>
      </w:r>
      <w:proofErr w:type="spellEnd"/>
      <w:r w:rsidRPr="00C1474A">
        <w:rPr>
          <w:rFonts w:ascii="Palatino Linotype" w:hAnsi="Palatino Linotype"/>
          <w:i/>
        </w:rPr>
        <w:t xml:space="preserve"> de prontitud, eficacia y </w:t>
      </w:r>
      <w:proofErr w:type="spellStart"/>
      <w:r w:rsidRPr="00C1474A">
        <w:rPr>
          <w:rFonts w:ascii="Palatino Linotype" w:hAnsi="Palatino Linotype"/>
          <w:i/>
        </w:rPr>
        <w:t>expeditez</w:t>
      </w:r>
      <w:proofErr w:type="spellEnd"/>
      <w:r w:rsidRPr="00C1474A">
        <w:rPr>
          <w:rFonts w:ascii="Palatino Linotype" w:hAnsi="Palatino Linotype"/>
          <w:i/>
        </w:rPr>
        <w:t xml:space="preserve"> no pueden ser privativas del ámbito judicial, sino que comprenden la producción de los actos administrativos.</w:t>
      </w:r>
      <w:r>
        <w:rPr>
          <w:rFonts w:ascii="Palatino Linotype" w:hAnsi="Palatino Linotype"/>
          <w:i/>
        </w:rPr>
        <w:t>”</w:t>
      </w:r>
    </w:p>
    <w:p w:rsidR="00C1474A" w:rsidRDefault="00C1474A" w:rsidP="00C1474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p>
    <w:p w:rsidR="00C1474A" w:rsidRDefault="00C1474A" w:rsidP="00C1474A">
      <w:pPr>
        <w:pStyle w:val="Ttulo2"/>
        <w:rPr>
          <w:rFonts w:ascii="Palatino Linotype" w:eastAsia="Calibri" w:hAnsi="Palatino Linotype" w:cs="Arial"/>
          <w:b/>
          <w:color w:val="auto"/>
        </w:rPr>
      </w:pPr>
      <w:bookmarkStart w:id="5" w:name="_Toc524355594"/>
      <w:r w:rsidRPr="00C1474A">
        <w:rPr>
          <w:rFonts w:ascii="Palatino Linotype" w:eastAsia="Calibri" w:hAnsi="Palatino Linotype" w:cs="Arial"/>
          <w:b/>
          <w:color w:val="auto"/>
        </w:rPr>
        <w:t>IV. De los Derechos ARCO.</w:t>
      </w:r>
      <w:bookmarkEnd w:id="5"/>
    </w:p>
    <w:p w:rsidR="00C1474A" w:rsidRPr="00C1474A" w:rsidRDefault="00C1474A" w:rsidP="00C1474A"/>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w:t>
      </w:r>
      <w:r w:rsidRPr="00D122F9">
        <w:rPr>
          <w:rFonts w:ascii="Palatino Linotype" w:hAnsi="Palatino Linotype" w:cs="Segoe UI"/>
        </w:rPr>
        <w:t xml:space="preserve">tal virtud, </w:t>
      </w:r>
      <w:r w:rsidRPr="00D122F9">
        <w:rPr>
          <w:rFonts w:ascii="Palatino Linotype" w:eastAsia="Times New Roman" w:hAnsi="Palatino Linotype"/>
          <w:color w:val="222222"/>
          <w:lang w:eastAsia="es-MX"/>
        </w:rPr>
        <w:t xml:space="preserve">se tiene que la protección de datos personales, es un derecho que conlleva un conjunto de elementos distintivos, consistentes en consentir, saber y tener control sobre el tratamiento de éstos; es decir, los titulares tienen la </w:t>
      </w:r>
      <w:r w:rsidRPr="00D122F9">
        <w:rPr>
          <w:rFonts w:ascii="Palatino Linotype" w:eastAsia="Times New Roman" w:hAnsi="Palatino Linotype"/>
          <w:color w:val="222222"/>
          <w:lang w:eastAsia="es-MX"/>
        </w:rPr>
        <w:lastRenderedPageBreak/>
        <w:t>posibilidad de ejercer una serie de derechos para hacer efectiva la protección de sus datos personales, que se refieren al Acceso, Rectificación, Cancelación y Oposición, comúnmente designados, por sus siglas, como derechos ARCO.</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Este </w:t>
      </w:r>
      <w:r w:rsidRPr="00D122F9">
        <w:rPr>
          <w:rFonts w:ascii="Palatino Linotype" w:eastAsia="Times New Roman" w:hAnsi="Palatino Linotype"/>
          <w:color w:val="222222"/>
          <w:lang w:eastAsia="es-MX"/>
        </w:rPr>
        <w:t xml:space="preserve">derecho, encuentra su sustento en los artículos 6, inciso A), fracción II y 16, párrafo segundo de la </w:t>
      </w:r>
      <w:r w:rsidRPr="00D122F9">
        <w:rPr>
          <w:rFonts w:ascii="Palatino Linotype" w:eastAsia="Times New Roman" w:hAnsi="Palatino Linotype"/>
          <w:b/>
          <w:color w:val="222222"/>
          <w:lang w:eastAsia="es-MX"/>
        </w:rPr>
        <w:t>Constitución Política de los Estados Unidos Mexicanos</w:t>
      </w:r>
      <w:r w:rsidRPr="00D122F9">
        <w:rPr>
          <w:rFonts w:ascii="Palatino Linotype" w:eastAsia="Times New Roman" w:hAnsi="Palatino Linotype"/>
          <w:color w:val="222222"/>
          <w:lang w:eastAsia="es-MX"/>
        </w:rPr>
        <w:t>, que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términos generales, </w:t>
      </w:r>
      <w:r w:rsidRPr="00D122F9">
        <w:rPr>
          <w:rFonts w:ascii="Palatino Linotype" w:eastAsia="Times New Roman" w:hAnsi="Palatino Linotype"/>
          <w:color w:val="222222"/>
          <w:lang w:eastAsia="es-MX"/>
        </w:rPr>
        <w:t>los titulares de los datos personales, a través del ejercicio de los derechos ARCO, tienen el control sobre su información personal que se encuentra en poder de los Sujetos Obligados.</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C1474A"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Bajo esa tesitura, dicho acceso procedería una vez que la </w:t>
      </w:r>
      <w:r>
        <w:rPr>
          <w:rFonts w:ascii="Palatino Linotype" w:eastAsia="Calibri" w:hAnsi="Palatino Linotype" w:cs="Arial"/>
          <w:b/>
        </w:rPr>
        <w:t>RECURRENTE</w:t>
      </w:r>
      <w:r>
        <w:rPr>
          <w:rFonts w:ascii="Palatino Linotype" w:eastAsia="Calibri" w:hAnsi="Palatino Linotype" w:cs="Arial"/>
        </w:rPr>
        <w:t xml:space="preserve"> hubiere acreditado su personalidad </w:t>
      </w:r>
      <w:r w:rsidRPr="00D122F9">
        <w:rPr>
          <w:rFonts w:ascii="Palatino Linotype" w:eastAsia="Times New Roman" w:hAnsi="Palatino Linotype" w:cs="Arial"/>
        </w:rPr>
        <w:t xml:space="preserve">ante la Unidad de Transparencia del </w:t>
      </w:r>
      <w:r w:rsidRPr="00D122F9">
        <w:rPr>
          <w:rFonts w:ascii="Palatino Linotype" w:eastAsia="Times New Roman" w:hAnsi="Palatino Linotype" w:cs="Arial"/>
          <w:b/>
        </w:rPr>
        <w:t>SUJETO OBLIGADO</w:t>
      </w:r>
      <w:r w:rsidRPr="00D122F9">
        <w:rPr>
          <w:rFonts w:ascii="Palatino Linotype" w:eastAsia="Times New Roman" w:hAnsi="Palatino Linotype" w:cs="Arial"/>
        </w:rPr>
        <w:t xml:space="preserve">, como titular de la información, o bien, la representación legal para </w:t>
      </w:r>
      <w:r w:rsidRPr="00D122F9">
        <w:rPr>
          <w:rFonts w:ascii="Palatino Linotype" w:eastAsia="Times New Roman" w:hAnsi="Palatino Linotype" w:cs="Arial"/>
        </w:rPr>
        <w:lastRenderedPageBreak/>
        <w:t>tener acceso a ella.</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F5C92"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ese sentido, </w:t>
      </w:r>
      <w:r w:rsidRPr="00D122F9">
        <w:rPr>
          <w:rFonts w:ascii="Palatino Linotype" w:eastAsia="Times New Roman" w:hAnsi="Palatino Linotype" w:cs="Arial"/>
        </w:rPr>
        <w:t xml:space="preserve">, la </w:t>
      </w:r>
      <w:r w:rsidRPr="007F5C92">
        <w:rPr>
          <w:rFonts w:ascii="Palatino Linotype" w:eastAsia="Times New Roman" w:hAnsi="Palatino Linotype" w:cs="Arial"/>
        </w:rPr>
        <w:t>Ley de Protección de Datos Personales en Posesión de Sujetos Obligados del Estado de México y Municipios</w:t>
      </w:r>
      <w:r>
        <w:rPr>
          <w:rFonts w:ascii="Palatino Linotype" w:hAnsi="Palatino Linotype"/>
          <w:vertAlign w:val="superscript"/>
        </w:rPr>
        <w:t xml:space="preserve"> </w:t>
      </w:r>
      <w:r w:rsidRPr="00D122F9">
        <w:rPr>
          <w:rFonts w:ascii="Palatino Linotype" w:eastAsia="Times New Roman" w:hAnsi="Palatino Linotype" w:cs="Arial"/>
        </w:rPr>
        <w:t>prevé, en su artículo 97 la procedencia de estos derechos en los siguientes términos:</w:t>
      </w:r>
    </w:p>
    <w:p w:rsidR="007F5C92" w:rsidRPr="007F5C92" w:rsidRDefault="007F5C92" w:rsidP="007F5C92">
      <w:pPr>
        <w:pStyle w:val="Sinespaciado"/>
        <w:ind w:left="851" w:right="567"/>
        <w:jc w:val="both"/>
        <w:rPr>
          <w:rFonts w:ascii="Palatino Linotype" w:hAnsi="Palatino Linotype"/>
          <w:i/>
        </w:rPr>
      </w:pPr>
      <w:r>
        <w:rPr>
          <w:rFonts w:ascii="Palatino Linotype" w:hAnsi="Palatino Linotype"/>
          <w:i/>
        </w:rPr>
        <w:t>“</w:t>
      </w:r>
      <w:r w:rsidRPr="007F5C92">
        <w:rPr>
          <w:rFonts w:ascii="Palatino Linotype" w:hAnsi="Palatino Linotype"/>
          <w:b/>
          <w:i/>
        </w:rPr>
        <w:t>Artículo 97.</w:t>
      </w:r>
      <w:r w:rsidRPr="007F5C92">
        <w:rPr>
          <w:rFonts w:ascii="Palatino Linotype" w:hAnsi="Palatino Linotype"/>
          <w:i/>
        </w:rPr>
        <w:t xml:space="preserve"> Los derechos de acceso, rectificación, cancelación y oposición de datos personales son derechos independientes. El ejercicio de cualquiera de ellos no es requisito previo no impide el ejercicio de otro. </w:t>
      </w:r>
      <w:r w:rsidRPr="007F5C92">
        <w:rPr>
          <w:rFonts w:ascii="Palatino Linotype" w:hAnsi="Palatino Linotype"/>
          <w:b/>
          <w:i/>
        </w:rPr>
        <w:t>La procedencia de estos derechos, en su caso, se hará efectiva una vez que el titular o su representante legal acrediten su identidad o representación, respectivamente.</w:t>
      </w:r>
      <w:r w:rsidRPr="007F5C92">
        <w:rPr>
          <w:rFonts w:ascii="Palatino Linotype" w:hAnsi="Palatino Linotype"/>
          <w:i/>
        </w:rPr>
        <w:t xml:space="preserve"> </w:t>
      </w:r>
    </w:p>
    <w:p w:rsidR="007F5C92" w:rsidRPr="007F5C92" w:rsidRDefault="007F5C92" w:rsidP="007F5C92">
      <w:pPr>
        <w:pStyle w:val="Sinespaciado"/>
        <w:ind w:left="851" w:right="567"/>
        <w:jc w:val="both"/>
        <w:rPr>
          <w:rFonts w:ascii="Palatino Linotype" w:hAnsi="Palatino Linotype"/>
          <w:i/>
        </w:rPr>
      </w:pPr>
      <w:r w:rsidRPr="007F5C92">
        <w:rPr>
          <w:rFonts w:ascii="Palatino Linotype" w:hAnsi="Palatino Linotype"/>
          <w:i/>
        </w:rPr>
        <w:t xml:space="preserve">En ningún caso el acceso a los datos personales de un titular podrá afectar los derechos y libertades de otros. </w:t>
      </w:r>
    </w:p>
    <w:p w:rsidR="007F5C92" w:rsidRDefault="007F5C92" w:rsidP="007F5C92">
      <w:pPr>
        <w:pStyle w:val="Sinespaciado"/>
        <w:ind w:left="851" w:right="567"/>
        <w:jc w:val="both"/>
        <w:rPr>
          <w:rFonts w:ascii="Palatino Linotype" w:hAnsi="Palatino Linotype"/>
        </w:rPr>
      </w:pPr>
      <w:r w:rsidRPr="007F5C92">
        <w:rPr>
          <w:rFonts w:ascii="Palatino Linotype" w:hAnsi="Palatino Linotype"/>
          <w:i/>
        </w:rPr>
        <w:t>El ejercicio de cualquiera de los derechos ARCO, forma parte de las garantías primarias del derecho a la protección de datos personales</w:t>
      </w:r>
      <w:r w:rsidRPr="007F5C92">
        <w:rPr>
          <w:rFonts w:ascii="Palatino Linotype" w:hAnsi="Palatino Linotype"/>
        </w:rPr>
        <w:t>.</w:t>
      </w:r>
    </w:p>
    <w:p w:rsidR="0005393E" w:rsidRPr="007F5C92" w:rsidRDefault="007F5C92" w:rsidP="007F5C92">
      <w:pPr>
        <w:pStyle w:val="Sinespaciado"/>
        <w:ind w:left="851" w:right="567"/>
        <w:jc w:val="both"/>
        <w:rPr>
          <w:rFonts w:ascii="Palatino Linotype" w:hAnsi="Palatino Linotype"/>
        </w:rPr>
      </w:pPr>
      <w:r w:rsidRPr="007F5C92">
        <w:rPr>
          <w:rFonts w:ascii="Palatino Linotype" w:hAnsi="Palatino Linotype"/>
        </w:rPr>
        <w:t>(Énfasis añadido)</w:t>
      </w:r>
    </w:p>
    <w:p w:rsidR="007F5C92" w:rsidRDefault="007F5C92"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F5C92"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Efectivamente, </w:t>
      </w:r>
      <w:r w:rsidRPr="00D122F9">
        <w:rPr>
          <w:rFonts w:ascii="Palatino Linotype" w:eastAsia="Times New Roman" w:hAnsi="Palatino Linotype" w:cs="Arial"/>
        </w:rPr>
        <w:t>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datos solo pueden ser tramitados por el titular o su representante legal y que a su vez, los servidores públicos responsables de las Unidades de Transparencia tendrán la obligación de informar al solicitante que deberá realizar tal acreditación.</w:t>
      </w:r>
    </w:p>
    <w:p w:rsidR="0005393E" w:rsidRDefault="0005393E"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05393E" w:rsidRDefault="007F5C92" w:rsidP="0005393E">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ese sentido, </w:t>
      </w:r>
      <w:r w:rsidRPr="00D122F9">
        <w:rPr>
          <w:rFonts w:ascii="Palatino Linotype" w:hAnsi="Palatino Linotype"/>
          <w:color w:val="000000" w:themeColor="text1"/>
        </w:rPr>
        <w:t xml:space="preserve">al tratarse de un trámite en específico </w:t>
      </w:r>
      <w:r>
        <w:rPr>
          <w:rFonts w:ascii="Palatino Linotype" w:hAnsi="Palatino Linotype"/>
          <w:color w:val="000000" w:themeColor="text1"/>
        </w:rPr>
        <w:t xml:space="preserve">debió haberse ordenado </w:t>
      </w:r>
      <w:r w:rsidRPr="00D122F9">
        <w:rPr>
          <w:rFonts w:ascii="Palatino Linotype" w:hAnsi="Palatino Linotype"/>
          <w:color w:val="000000" w:themeColor="text1"/>
        </w:rPr>
        <w:t xml:space="preserve">el </w:t>
      </w:r>
      <w:r w:rsidRPr="00D122F9">
        <w:rPr>
          <w:rFonts w:ascii="Palatino Linotype" w:hAnsi="Palatino Linotype"/>
          <w:color w:val="000000" w:themeColor="text1"/>
        </w:rPr>
        <w:lastRenderedPageBreak/>
        <w:t xml:space="preserve">acceso a la averiguación </w:t>
      </w:r>
      <w:r w:rsidRPr="00D122F9">
        <w:rPr>
          <w:rFonts w:ascii="Palatino Linotype" w:hAnsi="Palatino Linotype"/>
          <w:b/>
          <w:i/>
          <w:sz w:val="22"/>
          <w:szCs w:val="22"/>
          <w:u w:val="single"/>
        </w:rPr>
        <w:t>previa acreditación de la identidad o personalidad</w:t>
      </w:r>
      <w:r w:rsidRPr="00D122F9">
        <w:rPr>
          <w:rFonts w:ascii="Palatino Linotype" w:hAnsi="Palatino Linotype"/>
          <w:color w:val="000000" w:themeColor="text1"/>
        </w:rPr>
        <w:t xml:space="preserve"> en el ejercicio de los derechos ARCO </w:t>
      </w:r>
      <w:r w:rsidRPr="00D122F9">
        <w:rPr>
          <w:rFonts w:ascii="Palatino Linotype" w:hAnsi="Palatino Linotype"/>
          <w:b/>
          <w:color w:val="000000" w:themeColor="text1"/>
          <w:u w:val="single"/>
        </w:rPr>
        <w:t>en versión pública</w:t>
      </w:r>
      <w:r>
        <w:rPr>
          <w:rFonts w:ascii="Palatino Linotype" w:hAnsi="Palatino Linotype"/>
          <w:color w:val="000000" w:themeColor="text1"/>
        </w:rPr>
        <w:t xml:space="preserve"> a efecto de proteger la identidad y datos personales de terceros, y así dejándose</w:t>
      </w:r>
      <w:r w:rsidRPr="00D122F9">
        <w:rPr>
          <w:rFonts w:ascii="Palatino Linotype" w:hAnsi="Palatino Linotype"/>
          <w:color w:val="000000" w:themeColor="text1"/>
        </w:rPr>
        <w:t xml:space="preserve"> a </w:t>
      </w:r>
      <w:r>
        <w:rPr>
          <w:rFonts w:ascii="Palatino Linotype" w:hAnsi="Palatino Linotype"/>
          <w:color w:val="000000" w:themeColor="text1"/>
        </w:rPr>
        <w:t xml:space="preserve">salvo los derechos de la </w:t>
      </w:r>
      <w:r>
        <w:rPr>
          <w:rFonts w:ascii="Palatino Linotype" w:hAnsi="Palatino Linotype"/>
          <w:b/>
          <w:color w:val="000000" w:themeColor="text1"/>
        </w:rPr>
        <w:t>RECURRENTE</w:t>
      </w:r>
      <w:r>
        <w:rPr>
          <w:rFonts w:ascii="Palatino Linotype" w:hAnsi="Palatino Linotype"/>
          <w:color w:val="000000" w:themeColor="text1"/>
        </w:rPr>
        <w:t xml:space="preserve"> </w:t>
      </w:r>
      <w:r w:rsidRPr="00D122F9">
        <w:rPr>
          <w:rFonts w:ascii="Palatino Linotype" w:hAnsi="Palatino Linotype"/>
          <w:color w:val="000000" w:themeColor="text1"/>
        </w:rPr>
        <w:t xml:space="preserve">para que realice el trámite legal conducente indicado por las autoridades competentes, de conformidad con el artículo 114 de la </w:t>
      </w:r>
      <w:r w:rsidRPr="00D122F9">
        <w:rPr>
          <w:rFonts w:ascii="Palatino Linotype" w:eastAsia="Times New Roman" w:hAnsi="Palatino Linotype" w:cs="Arial"/>
          <w:b/>
        </w:rPr>
        <w:t xml:space="preserve">Ley de Protección de Datos Personales en Posesión de Sujetos Obligados del Estado de México y Municipios </w:t>
      </w:r>
      <w:r w:rsidRPr="00D122F9">
        <w:rPr>
          <w:rFonts w:ascii="Palatino Linotype" w:eastAsia="Times New Roman" w:hAnsi="Palatino Linotype" w:cs="Arial"/>
        </w:rPr>
        <w:t>que a la letra dispone:</w:t>
      </w:r>
    </w:p>
    <w:p w:rsidR="007F5C92" w:rsidRPr="007F5C92" w:rsidRDefault="007F5C92" w:rsidP="007F5C92">
      <w:pPr>
        <w:pStyle w:val="Sinespaciado"/>
        <w:ind w:left="851" w:right="567"/>
        <w:jc w:val="both"/>
        <w:rPr>
          <w:rFonts w:ascii="Palatino Linotype" w:hAnsi="Palatino Linotype"/>
          <w:b/>
          <w:i/>
        </w:rPr>
      </w:pPr>
      <w:r w:rsidRPr="007F5C92">
        <w:rPr>
          <w:rFonts w:ascii="Palatino Linotype" w:hAnsi="Palatino Linotype"/>
          <w:b/>
          <w:i/>
        </w:rPr>
        <w:t xml:space="preserve">Existencia de trámite específico </w:t>
      </w:r>
    </w:p>
    <w:p w:rsidR="007F5C92" w:rsidRPr="007F5C92" w:rsidRDefault="007F5C92" w:rsidP="007F5C92">
      <w:pPr>
        <w:pStyle w:val="Sinespaciado"/>
        <w:ind w:left="851" w:right="567"/>
        <w:jc w:val="both"/>
        <w:rPr>
          <w:rFonts w:ascii="Palatino Linotype" w:hAnsi="Palatino Linotype"/>
          <w:i/>
        </w:rPr>
      </w:pPr>
      <w:r>
        <w:rPr>
          <w:rFonts w:ascii="Palatino Linotype" w:hAnsi="Palatino Linotype"/>
          <w:i/>
        </w:rPr>
        <w:t>“</w:t>
      </w:r>
      <w:r w:rsidRPr="007F5C92">
        <w:rPr>
          <w:rFonts w:ascii="Palatino Linotype" w:hAnsi="Palatino Linotype"/>
          <w:b/>
          <w:i/>
        </w:rPr>
        <w:t>Artículo 114.</w:t>
      </w:r>
      <w:r w:rsidRPr="007F5C92">
        <w:rPr>
          <w:rFonts w:ascii="Palatino Linotype" w:hAnsi="Palatino Linotype"/>
          <w:i/>
        </w:rPr>
        <w:t xml:space="preserve"> Cuando las disposiciones aplicables a determinados tratamientos de datos personales establezcan un trámite o procedimiento específico para solicitar el ejercicio de los derechos ARCO, el responsable deberá informar al titular sobre la existencia del mismo, en un plazo no mayor a cinco días siguiente a la presentación de la solicitud para el ejercicio de los derechos ARCO, </w:t>
      </w:r>
      <w:r w:rsidRPr="007F5C92">
        <w:rPr>
          <w:rFonts w:ascii="Palatino Linotype" w:hAnsi="Palatino Linotype"/>
          <w:b/>
          <w:i/>
        </w:rPr>
        <w:t>a efecto que este último decida si ejerce sus derechos a través del trámite específico, o bien a través del procedimiento para el ejercicio de los derechos ARCO.</w:t>
      </w:r>
      <w:r w:rsidRPr="007F5C92">
        <w:rPr>
          <w:rFonts w:ascii="Palatino Linotype" w:hAnsi="Palatino Linotype"/>
          <w:i/>
        </w:rPr>
        <w:t xml:space="preserve"> </w:t>
      </w:r>
    </w:p>
    <w:p w:rsidR="0005393E" w:rsidRDefault="007F5C92" w:rsidP="007F5C92">
      <w:pPr>
        <w:pStyle w:val="Sinespaciado"/>
        <w:ind w:left="851" w:right="567"/>
        <w:jc w:val="both"/>
        <w:rPr>
          <w:rFonts w:ascii="Palatino Linotype" w:hAnsi="Palatino Linotype"/>
        </w:rPr>
      </w:pPr>
      <w:r w:rsidRPr="007F5C92">
        <w:rPr>
          <w:rFonts w:ascii="Palatino Linotype" w:hAnsi="Palatino Linotype"/>
          <w:i/>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7F5C92" w:rsidRPr="007F5C92" w:rsidRDefault="007F5C92" w:rsidP="007F5C92">
      <w:pPr>
        <w:pStyle w:val="Sinespaciado"/>
        <w:ind w:left="851" w:right="567"/>
        <w:jc w:val="both"/>
        <w:rPr>
          <w:rFonts w:ascii="Palatino Linotype" w:hAnsi="Palatino Linotype"/>
        </w:rPr>
      </w:pPr>
      <w:r>
        <w:rPr>
          <w:rFonts w:ascii="Palatino Linotype" w:hAnsi="Palatino Linotype"/>
        </w:rPr>
        <w:t>(Énfasis añadido)</w:t>
      </w:r>
    </w:p>
    <w:p w:rsidR="002E293D" w:rsidRDefault="002E293D" w:rsidP="0005393E">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644DC3" w:rsidRDefault="0021451A" w:rsidP="0021451A">
      <w:pPr>
        <w:pStyle w:val="Ttulo2"/>
        <w:rPr>
          <w:rFonts w:ascii="Palatino Linotype" w:eastAsia="Times New Roman" w:hAnsi="Palatino Linotype"/>
          <w:b/>
          <w:color w:val="000000" w:themeColor="text1"/>
          <w:sz w:val="24"/>
          <w:szCs w:val="24"/>
          <w:lang w:eastAsia="es-MX"/>
        </w:rPr>
      </w:pPr>
      <w:bookmarkStart w:id="6" w:name="_Toc524355595"/>
      <w:r>
        <w:rPr>
          <w:rFonts w:ascii="Palatino Linotype" w:eastAsia="Times New Roman" w:hAnsi="Palatino Linotype"/>
          <w:b/>
          <w:color w:val="000000" w:themeColor="text1"/>
          <w:sz w:val="24"/>
          <w:szCs w:val="24"/>
          <w:lang w:eastAsia="es-MX"/>
        </w:rPr>
        <w:t xml:space="preserve">V. </w:t>
      </w:r>
      <w:r w:rsidR="00B82DF9" w:rsidRPr="00B82DF9">
        <w:rPr>
          <w:rFonts w:ascii="Palatino Linotype" w:eastAsia="Times New Roman" w:hAnsi="Palatino Linotype"/>
          <w:b/>
          <w:color w:val="000000" w:themeColor="text1"/>
          <w:sz w:val="24"/>
          <w:szCs w:val="24"/>
          <w:lang w:eastAsia="es-MX"/>
        </w:rPr>
        <w:t>Conclusión.</w:t>
      </w:r>
      <w:bookmarkEnd w:id="6"/>
    </w:p>
    <w:p w:rsidR="002E293D" w:rsidRPr="002E293D" w:rsidRDefault="002E293D" w:rsidP="002E293D">
      <w:pPr>
        <w:rPr>
          <w:lang w:eastAsia="es-MX"/>
        </w:rPr>
      </w:pPr>
    </w:p>
    <w:p w:rsidR="007B70C2" w:rsidRPr="006C3E41" w:rsidRDefault="002813E1" w:rsidP="006C3E41">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u w:val="single"/>
          <w:lang w:val="es-ES"/>
        </w:rPr>
      </w:pPr>
      <w:r>
        <w:rPr>
          <w:rFonts w:ascii="Palatino Linotype" w:eastAsia="MS Mincho" w:hAnsi="Palatino Linotype"/>
        </w:rPr>
        <w:t>Bajo ese tenor concluyo que</w:t>
      </w:r>
      <w:r w:rsidR="003B52E8">
        <w:rPr>
          <w:rFonts w:ascii="Palatino Linotype" w:eastAsia="MS Mincho" w:hAnsi="Palatino Linotype"/>
        </w:rPr>
        <w:t xml:space="preserve"> se </w:t>
      </w:r>
      <w:r w:rsidR="004866BA">
        <w:rPr>
          <w:rFonts w:ascii="Palatino Linotype" w:eastAsia="MS Mincho" w:hAnsi="Palatino Linotype"/>
        </w:rPr>
        <w:t>debió</w:t>
      </w:r>
      <w:r w:rsidR="003B52E8">
        <w:rPr>
          <w:rFonts w:ascii="Palatino Linotype" w:eastAsia="MS Mincho" w:hAnsi="Palatino Linotype"/>
        </w:rPr>
        <w:t xml:space="preserve"> d</w:t>
      </w:r>
      <w:r w:rsidR="0021451A">
        <w:rPr>
          <w:rFonts w:ascii="Palatino Linotype" w:eastAsia="MS Mincho" w:hAnsi="Palatino Linotype"/>
        </w:rPr>
        <w:t xml:space="preserve">e </w:t>
      </w:r>
      <w:r w:rsidR="006C3E41">
        <w:rPr>
          <w:rFonts w:ascii="Palatino Linotype" w:eastAsia="MS Mincho" w:hAnsi="Palatino Linotype"/>
        </w:rPr>
        <w:t xml:space="preserve">haber ordenado la entrega de la averiguación previa con número </w:t>
      </w:r>
      <w:r w:rsidR="003920D7" w:rsidRPr="003920D7">
        <w:rPr>
          <w:rFonts w:ascii="Palatino Linotype" w:eastAsia="MS Mincho" w:hAnsi="Palatino Linotype"/>
          <w:highlight w:val="black"/>
        </w:rPr>
        <w:t>---------------------------</w:t>
      </w:r>
      <w:r w:rsidR="006C3E41">
        <w:rPr>
          <w:rFonts w:ascii="Palatino Linotype" w:eastAsia="MS Mincho" w:hAnsi="Palatino Linotype"/>
        </w:rPr>
        <w:t xml:space="preserve"> a la </w:t>
      </w:r>
      <w:r w:rsidR="006C3E41">
        <w:rPr>
          <w:rFonts w:ascii="Palatino Linotype" w:eastAsia="MS Mincho" w:hAnsi="Palatino Linotype"/>
          <w:b/>
        </w:rPr>
        <w:t>RECURRENTE</w:t>
      </w:r>
      <w:r w:rsidR="006C3E41">
        <w:rPr>
          <w:rFonts w:ascii="Palatino Linotype" w:eastAsia="MS Mincho" w:hAnsi="Palatino Linotype"/>
        </w:rPr>
        <w:t xml:space="preserve"> por vía SAIMEX, toda vez que la solicitud de la misma encuadraba perfectamente en un ejercicio de derechos ARCO.</w:t>
      </w:r>
    </w:p>
    <w:p w:rsidR="006C3E41" w:rsidRPr="006C3E41" w:rsidRDefault="006C3E41" w:rsidP="006C3E41">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u w:val="single"/>
          <w:lang w:val="es-ES"/>
        </w:rPr>
      </w:pPr>
    </w:p>
    <w:p w:rsidR="006C3E41" w:rsidRPr="004866BA" w:rsidRDefault="006C3E41" w:rsidP="006C3E41">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rPr>
          <w:rFonts w:ascii="Palatino Linotype" w:eastAsia="Calibri" w:hAnsi="Palatino Linotype" w:cs="Arial"/>
          <w:u w:val="single"/>
          <w:lang w:val="es-ES"/>
        </w:rPr>
      </w:pPr>
      <w:r>
        <w:rPr>
          <w:rFonts w:ascii="Palatino Linotype" w:eastAsia="MS Mincho" w:hAnsi="Palatino Linotype"/>
        </w:rPr>
        <w:lastRenderedPageBreak/>
        <w:t>Asimismo, aprovecho estas líneas de conclusión para recordar a m</w:t>
      </w:r>
      <w:r w:rsidR="000C638B">
        <w:rPr>
          <w:rFonts w:ascii="Palatino Linotype" w:eastAsia="MS Mincho" w:hAnsi="Palatino Linotype"/>
        </w:rPr>
        <w:t>is colegas Comisionados que a pesar de que siempre nos encontremos con el choque de los derechos de acceso a la información pública y la protección de datos personales, el ejercicio de derechos ARCO no tendría por qué verse limitado en atención a costumbres procesales que hoy por hoy ya no dan cabida para dar cumplimiento a la Ley de Protección de Datos Personales en Posesión de los Sujetos Obligados del Estado de México y Municipios, ello en virtud a que de conformidad con el anteriormente expuesto artículo 114, cuando los Sujetos Obligados se encuentren ante la existencia de un trámite específico para dar seguimiento a una solicitud de ejercicio de derechos ARCO, ya no pueden simplemente hacer del conocimiento a los solicitante de la vía procesal oportuna para acceder a sus datos, sino que deben preguntarle a éstos cual es la vía que prefieren para tener acceso a los mismos, ya sea por medio del trámite específico o a través del SARCOEM, el cual fue creado justamente para propiciar que los particulares accedan, rectifiquen, cancelen y opongan sus datos personales a través de las tecnologías modernas de comunicación con las Instituciones públicas.</w:t>
      </w:r>
    </w:p>
    <w:p w:rsidR="009F6BAF" w:rsidRDefault="009F6BAF" w:rsidP="00C94BC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right="49"/>
        <w:jc w:val="both"/>
        <w:rPr>
          <w:rFonts w:ascii="Palatino Linotype" w:eastAsia="Calibri" w:hAnsi="Palatino Linotype" w:cs="Arial"/>
          <w:u w:val="single"/>
          <w:lang w:val="es-ES"/>
        </w:rPr>
      </w:pPr>
    </w:p>
    <w:p w:rsidR="00C94BC1" w:rsidRDefault="00C94BC1" w:rsidP="00C94BC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right="49"/>
        <w:jc w:val="both"/>
        <w:rPr>
          <w:rFonts w:ascii="Palatino Linotype" w:eastAsia="Calibri" w:hAnsi="Palatino Linotype" w:cs="Arial"/>
          <w:u w:val="single"/>
          <w:lang w:val="es-ES"/>
        </w:rPr>
      </w:pPr>
    </w:p>
    <w:p w:rsidR="00C94BC1" w:rsidRPr="0026502D" w:rsidRDefault="00C94BC1" w:rsidP="00C94BC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ind w:left="0" w:right="49"/>
        <w:jc w:val="both"/>
        <w:rPr>
          <w:rFonts w:ascii="Palatino Linotype" w:eastAsia="Calibri" w:hAnsi="Palatino Linotype" w:cs="Arial"/>
          <w:u w:val="single"/>
          <w:lang w:val="es-ES"/>
        </w:rPr>
      </w:pPr>
    </w:p>
    <w:p w:rsidR="007B70C2" w:rsidRPr="00B02166" w:rsidRDefault="007B70C2" w:rsidP="00C94BC1">
      <w:pPr>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JOSÉ GUADALUPE LUNA HERNÁNDEZ</w:t>
      </w:r>
    </w:p>
    <w:p w:rsidR="00BE7FDE" w:rsidRDefault="007B70C2" w:rsidP="00C94BC1">
      <w:pPr>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COMISIONADO</w:t>
      </w:r>
    </w:p>
    <w:p w:rsidR="00C94BC1" w:rsidRDefault="00C94BC1" w:rsidP="00C94BC1">
      <w:pPr>
        <w:jc w:val="center"/>
        <w:rPr>
          <w:rFonts w:ascii="Palatino Linotype" w:eastAsia="Calibri" w:hAnsi="Palatino Linotype" w:cs="Arial"/>
          <w:b/>
          <w:color w:val="000000" w:themeColor="text1"/>
        </w:rPr>
      </w:pPr>
      <w:r>
        <w:rPr>
          <w:rFonts w:ascii="Palatino Linotype" w:eastAsia="Calibri" w:hAnsi="Palatino Linotype" w:cs="Arial"/>
          <w:b/>
          <w:color w:val="000000" w:themeColor="text1"/>
        </w:rPr>
        <w:t>(Rúbrica)</w:t>
      </w:r>
    </w:p>
    <w:p w:rsidR="00BF0187" w:rsidRDefault="00BF0187" w:rsidP="00C94BC1">
      <w:pPr>
        <w:spacing w:after="160"/>
        <w:jc w:val="center"/>
        <w:rPr>
          <w:rFonts w:ascii="Palatino Linotype" w:eastAsia="Calibri" w:hAnsi="Palatino Linotype" w:cs="Arial"/>
          <w:b/>
          <w:color w:val="000000" w:themeColor="text1"/>
        </w:rPr>
      </w:pPr>
    </w:p>
    <w:p w:rsidR="00BE7FDE" w:rsidRDefault="00BE7FDE" w:rsidP="00C94BC1">
      <w:pPr>
        <w:spacing w:after="160"/>
        <w:rPr>
          <w:rFonts w:ascii="Palatino Linotype" w:eastAsia="Calibri" w:hAnsi="Palatino Linotype" w:cs="Arial"/>
          <w:b/>
          <w:color w:val="000000" w:themeColor="text1"/>
        </w:rPr>
      </w:pPr>
      <w:r>
        <w:rPr>
          <w:rFonts w:ascii="Palatino Linotype" w:eastAsia="Calibri" w:hAnsi="Palatino Linotype" w:cs="Arial"/>
          <w:b/>
          <w:color w:val="000000" w:themeColor="text1"/>
        </w:rPr>
        <w:t>JGLH/</w:t>
      </w:r>
      <w:r w:rsidR="00A2607C">
        <w:rPr>
          <w:rFonts w:ascii="Palatino Linotype" w:eastAsia="Calibri" w:hAnsi="Palatino Linotype" w:cs="Arial"/>
          <w:b/>
          <w:color w:val="000000" w:themeColor="text1"/>
        </w:rPr>
        <w:t>JAAV</w:t>
      </w:r>
    </w:p>
    <w:sectPr w:rsidR="00BE7FDE"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A0E" w:rsidRDefault="001E4A0E" w:rsidP="00ED7332">
      <w:r>
        <w:separator/>
      </w:r>
    </w:p>
  </w:endnote>
  <w:endnote w:type="continuationSeparator" w:id="0">
    <w:p w:rsidR="001E4A0E" w:rsidRDefault="001E4A0E"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D23F69" w:rsidRDefault="00D23F6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553E4">
              <w:rPr>
                <w:rFonts w:ascii="Palatino Linotype" w:hAnsi="Palatino Linotype"/>
                <w:b/>
                <w:bCs/>
                <w:noProof/>
                <w:sz w:val="20"/>
                <w:szCs w:val="20"/>
              </w:rPr>
              <w:t>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553E4">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D23F69" w:rsidRDefault="00D2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A0E" w:rsidRDefault="001E4A0E" w:rsidP="00ED7332">
      <w:r>
        <w:separator/>
      </w:r>
    </w:p>
  </w:footnote>
  <w:footnote w:type="continuationSeparator" w:id="0">
    <w:p w:rsidR="001E4A0E" w:rsidRDefault="001E4A0E"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1E4A0E">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1E4A0E">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D23F69" w:rsidRDefault="00D23F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1E4A0E">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15:restartNumberingAfterBreak="0">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15:restartNumberingAfterBreak="0">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775C45"/>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3" w15:restartNumberingAfterBreak="0">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4" w15:restartNumberingAfterBreak="0">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6" w15:restartNumberingAfterBreak="0">
    <w:nsid w:val="470E2CAD"/>
    <w:multiLevelType w:val="hybridMultilevel"/>
    <w:tmpl w:val="FC804E30"/>
    <w:lvl w:ilvl="0" w:tplc="02A6D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AC5D89"/>
    <w:multiLevelType w:val="hybridMultilevel"/>
    <w:tmpl w:val="C94E487C"/>
    <w:lvl w:ilvl="0" w:tplc="281E5080">
      <w:start w:val="1"/>
      <w:numFmt w:val="decimal"/>
      <w:lvlText w:val="%1."/>
      <w:lvlJc w:val="left"/>
      <w:pPr>
        <w:ind w:left="426" w:hanging="360"/>
      </w:p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15:restartNumberingAfterBreak="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25B2BA6"/>
    <w:multiLevelType w:val="hybridMultilevel"/>
    <w:tmpl w:val="75C6C85E"/>
    <w:lvl w:ilvl="0" w:tplc="D54A0A4C">
      <w:start w:val="13"/>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6CD61DAC"/>
    <w:multiLevelType w:val="hybridMultilevel"/>
    <w:tmpl w:val="A09E7BBA"/>
    <w:lvl w:ilvl="0" w:tplc="E1061F00">
      <w:start w:val="1"/>
      <w:numFmt w:val="lowerLetter"/>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7" w15:restartNumberingAfterBreak="0">
    <w:nsid w:val="6CFB1972"/>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8" w15:restartNumberingAfterBreak="0">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8"/>
  </w:num>
  <w:num w:numId="3">
    <w:abstractNumId w:val="31"/>
  </w:num>
  <w:num w:numId="4">
    <w:abstractNumId w:val="6"/>
  </w:num>
  <w:num w:numId="5">
    <w:abstractNumId w:val="13"/>
  </w:num>
  <w:num w:numId="6">
    <w:abstractNumId w:val="2"/>
  </w:num>
  <w:num w:numId="7">
    <w:abstractNumId w:val="23"/>
  </w:num>
  <w:num w:numId="8">
    <w:abstractNumId w:val="33"/>
  </w:num>
  <w:num w:numId="9">
    <w:abstractNumId w:val="17"/>
  </w:num>
  <w:num w:numId="10">
    <w:abstractNumId w:val="1"/>
  </w:num>
  <w:num w:numId="11">
    <w:abstractNumId w:val="0"/>
  </w:num>
  <w:num w:numId="12">
    <w:abstractNumId w:val="21"/>
  </w:num>
  <w:num w:numId="13">
    <w:abstractNumId w:val="4"/>
  </w:num>
  <w:num w:numId="14">
    <w:abstractNumId w:val="29"/>
  </w:num>
  <w:num w:numId="15">
    <w:abstractNumId w:val="28"/>
  </w:num>
  <w:num w:numId="16">
    <w:abstractNumId w:val="20"/>
  </w:num>
  <w:num w:numId="17">
    <w:abstractNumId w:val="10"/>
  </w:num>
  <w:num w:numId="18">
    <w:abstractNumId w:val="7"/>
  </w:num>
  <w:num w:numId="19">
    <w:abstractNumId w:val="30"/>
  </w:num>
  <w:num w:numId="20">
    <w:abstractNumId w:val="15"/>
  </w:num>
  <w:num w:numId="21">
    <w:abstractNumId w:val="32"/>
  </w:num>
  <w:num w:numId="22">
    <w:abstractNumId w:val="11"/>
  </w:num>
  <w:num w:numId="23">
    <w:abstractNumId w:val="14"/>
  </w:num>
  <w:num w:numId="24">
    <w:abstractNumId w:val="25"/>
  </w:num>
  <w:num w:numId="25">
    <w:abstractNumId w:val="18"/>
  </w:num>
  <w:num w:numId="26">
    <w:abstractNumId w:val="3"/>
  </w:num>
  <w:num w:numId="27">
    <w:abstractNumId w:val="16"/>
  </w:num>
  <w:num w:numId="28">
    <w:abstractNumId w:val="19"/>
  </w:num>
  <w:num w:numId="29">
    <w:abstractNumId w:val="26"/>
  </w:num>
  <w:num w:numId="30">
    <w:abstractNumId w:val="5"/>
  </w:num>
  <w:num w:numId="31">
    <w:abstractNumId w:val="22"/>
  </w:num>
  <w:num w:numId="32">
    <w:abstractNumId w:val="9"/>
  </w:num>
  <w:num w:numId="33">
    <w:abstractNumId w:val="2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01E9"/>
    <w:rsid w:val="00004141"/>
    <w:rsid w:val="00016FF0"/>
    <w:rsid w:val="0002194B"/>
    <w:rsid w:val="000350F9"/>
    <w:rsid w:val="00045EDE"/>
    <w:rsid w:val="0005393E"/>
    <w:rsid w:val="000553E4"/>
    <w:rsid w:val="000719AC"/>
    <w:rsid w:val="00074B24"/>
    <w:rsid w:val="00075FD0"/>
    <w:rsid w:val="00081A3A"/>
    <w:rsid w:val="0009296B"/>
    <w:rsid w:val="00097AD7"/>
    <w:rsid w:val="000B0E25"/>
    <w:rsid w:val="000C3723"/>
    <w:rsid w:val="000C638B"/>
    <w:rsid w:val="000D0450"/>
    <w:rsid w:val="000F1159"/>
    <w:rsid w:val="000F2AC8"/>
    <w:rsid w:val="00103510"/>
    <w:rsid w:val="00115126"/>
    <w:rsid w:val="00121E0C"/>
    <w:rsid w:val="0012798F"/>
    <w:rsid w:val="0015416E"/>
    <w:rsid w:val="0015773B"/>
    <w:rsid w:val="0016141F"/>
    <w:rsid w:val="00161D60"/>
    <w:rsid w:val="0016664C"/>
    <w:rsid w:val="00173575"/>
    <w:rsid w:val="00176B30"/>
    <w:rsid w:val="00183FB1"/>
    <w:rsid w:val="001A2F06"/>
    <w:rsid w:val="001A2F09"/>
    <w:rsid w:val="001C6C91"/>
    <w:rsid w:val="001C7E8D"/>
    <w:rsid w:val="001E15C3"/>
    <w:rsid w:val="001E2E42"/>
    <w:rsid w:val="001E4A0E"/>
    <w:rsid w:val="001F0577"/>
    <w:rsid w:val="001F4283"/>
    <w:rsid w:val="00202EE5"/>
    <w:rsid w:val="00203272"/>
    <w:rsid w:val="00207A85"/>
    <w:rsid w:val="00207BD3"/>
    <w:rsid w:val="00212747"/>
    <w:rsid w:val="0021451A"/>
    <w:rsid w:val="002252EC"/>
    <w:rsid w:val="00230BB9"/>
    <w:rsid w:val="00231F6E"/>
    <w:rsid w:val="002346BB"/>
    <w:rsid w:val="0023511A"/>
    <w:rsid w:val="00253251"/>
    <w:rsid w:val="00255331"/>
    <w:rsid w:val="0026502D"/>
    <w:rsid w:val="00272C54"/>
    <w:rsid w:val="00273430"/>
    <w:rsid w:val="002747F1"/>
    <w:rsid w:val="00274977"/>
    <w:rsid w:val="002813E1"/>
    <w:rsid w:val="00290D96"/>
    <w:rsid w:val="002A3A54"/>
    <w:rsid w:val="002D245A"/>
    <w:rsid w:val="002D5661"/>
    <w:rsid w:val="002E293D"/>
    <w:rsid w:val="002E4EAD"/>
    <w:rsid w:val="002F0112"/>
    <w:rsid w:val="002F22ED"/>
    <w:rsid w:val="00302A59"/>
    <w:rsid w:val="003061F2"/>
    <w:rsid w:val="00313DBF"/>
    <w:rsid w:val="00314F1B"/>
    <w:rsid w:val="00324E4D"/>
    <w:rsid w:val="003408FF"/>
    <w:rsid w:val="0034652A"/>
    <w:rsid w:val="00364D1A"/>
    <w:rsid w:val="00364E7F"/>
    <w:rsid w:val="003672A4"/>
    <w:rsid w:val="003765B0"/>
    <w:rsid w:val="0038405F"/>
    <w:rsid w:val="00386215"/>
    <w:rsid w:val="003918E2"/>
    <w:rsid w:val="003920D7"/>
    <w:rsid w:val="00395565"/>
    <w:rsid w:val="003A43CE"/>
    <w:rsid w:val="003B52E8"/>
    <w:rsid w:val="003C297A"/>
    <w:rsid w:val="003C68B6"/>
    <w:rsid w:val="003D1215"/>
    <w:rsid w:val="003D4338"/>
    <w:rsid w:val="003D513F"/>
    <w:rsid w:val="003E6ABE"/>
    <w:rsid w:val="003F71B7"/>
    <w:rsid w:val="0040402F"/>
    <w:rsid w:val="00411E99"/>
    <w:rsid w:val="00413EC8"/>
    <w:rsid w:val="00421FE8"/>
    <w:rsid w:val="004252DB"/>
    <w:rsid w:val="0042617C"/>
    <w:rsid w:val="00430106"/>
    <w:rsid w:val="00451A8A"/>
    <w:rsid w:val="00466E96"/>
    <w:rsid w:val="00482790"/>
    <w:rsid w:val="004866BA"/>
    <w:rsid w:val="004915D5"/>
    <w:rsid w:val="00493D5E"/>
    <w:rsid w:val="004A75D5"/>
    <w:rsid w:val="004C224C"/>
    <w:rsid w:val="004C4360"/>
    <w:rsid w:val="004C50F8"/>
    <w:rsid w:val="004D1629"/>
    <w:rsid w:val="00500365"/>
    <w:rsid w:val="0050137A"/>
    <w:rsid w:val="00503141"/>
    <w:rsid w:val="00513B26"/>
    <w:rsid w:val="005214ED"/>
    <w:rsid w:val="0052203D"/>
    <w:rsid w:val="0054038C"/>
    <w:rsid w:val="00555A1D"/>
    <w:rsid w:val="00557948"/>
    <w:rsid w:val="00586E51"/>
    <w:rsid w:val="005917A9"/>
    <w:rsid w:val="005A0DB3"/>
    <w:rsid w:val="005E04EA"/>
    <w:rsid w:val="005E5028"/>
    <w:rsid w:val="005F0992"/>
    <w:rsid w:val="005F1F68"/>
    <w:rsid w:val="00614828"/>
    <w:rsid w:val="00617409"/>
    <w:rsid w:val="00630699"/>
    <w:rsid w:val="00633DCF"/>
    <w:rsid w:val="00635A4F"/>
    <w:rsid w:val="0063753D"/>
    <w:rsid w:val="00644DC3"/>
    <w:rsid w:val="00651B65"/>
    <w:rsid w:val="006609DE"/>
    <w:rsid w:val="00671712"/>
    <w:rsid w:val="00680FB4"/>
    <w:rsid w:val="00696E58"/>
    <w:rsid w:val="006A378B"/>
    <w:rsid w:val="006B284E"/>
    <w:rsid w:val="006C3E41"/>
    <w:rsid w:val="006F12CB"/>
    <w:rsid w:val="0070190C"/>
    <w:rsid w:val="00711276"/>
    <w:rsid w:val="00716894"/>
    <w:rsid w:val="007226CE"/>
    <w:rsid w:val="00723836"/>
    <w:rsid w:val="00730A8B"/>
    <w:rsid w:val="00735630"/>
    <w:rsid w:val="007455F7"/>
    <w:rsid w:val="00751FDC"/>
    <w:rsid w:val="00761F66"/>
    <w:rsid w:val="007631ED"/>
    <w:rsid w:val="00763471"/>
    <w:rsid w:val="00774A7F"/>
    <w:rsid w:val="0077794D"/>
    <w:rsid w:val="007803FD"/>
    <w:rsid w:val="00791116"/>
    <w:rsid w:val="007A4390"/>
    <w:rsid w:val="007A4E77"/>
    <w:rsid w:val="007A6A25"/>
    <w:rsid w:val="007A76AC"/>
    <w:rsid w:val="007B194A"/>
    <w:rsid w:val="007B1C16"/>
    <w:rsid w:val="007B70C2"/>
    <w:rsid w:val="007C2897"/>
    <w:rsid w:val="007C4358"/>
    <w:rsid w:val="007C5261"/>
    <w:rsid w:val="007F5C92"/>
    <w:rsid w:val="00827968"/>
    <w:rsid w:val="008326CC"/>
    <w:rsid w:val="00835B3B"/>
    <w:rsid w:val="00867005"/>
    <w:rsid w:val="00876E43"/>
    <w:rsid w:val="008771A6"/>
    <w:rsid w:val="00880EB4"/>
    <w:rsid w:val="00885715"/>
    <w:rsid w:val="00892B0B"/>
    <w:rsid w:val="008A1A85"/>
    <w:rsid w:val="008A78F1"/>
    <w:rsid w:val="008B29B7"/>
    <w:rsid w:val="008B5FFF"/>
    <w:rsid w:val="008B70FB"/>
    <w:rsid w:val="008B7D1A"/>
    <w:rsid w:val="008C3561"/>
    <w:rsid w:val="008E34E6"/>
    <w:rsid w:val="008F1F4E"/>
    <w:rsid w:val="0091204D"/>
    <w:rsid w:val="00920A8C"/>
    <w:rsid w:val="009213F1"/>
    <w:rsid w:val="00921C54"/>
    <w:rsid w:val="009376B4"/>
    <w:rsid w:val="009479BE"/>
    <w:rsid w:val="00947F47"/>
    <w:rsid w:val="0095280A"/>
    <w:rsid w:val="00952EB7"/>
    <w:rsid w:val="00962544"/>
    <w:rsid w:val="00971D0C"/>
    <w:rsid w:val="0097464F"/>
    <w:rsid w:val="009865A7"/>
    <w:rsid w:val="0099042C"/>
    <w:rsid w:val="00995363"/>
    <w:rsid w:val="009A205E"/>
    <w:rsid w:val="009B1FD0"/>
    <w:rsid w:val="009C496D"/>
    <w:rsid w:val="009D5E66"/>
    <w:rsid w:val="009E7D34"/>
    <w:rsid w:val="009F6BAF"/>
    <w:rsid w:val="00A07994"/>
    <w:rsid w:val="00A14AED"/>
    <w:rsid w:val="00A22447"/>
    <w:rsid w:val="00A2607C"/>
    <w:rsid w:val="00A30AD1"/>
    <w:rsid w:val="00A4726E"/>
    <w:rsid w:val="00A60A3C"/>
    <w:rsid w:val="00A76D58"/>
    <w:rsid w:val="00A9460D"/>
    <w:rsid w:val="00AC62EA"/>
    <w:rsid w:val="00AE112C"/>
    <w:rsid w:val="00AE1FD6"/>
    <w:rsid w:val="00AF233F"/>
    <w:rsid w:val="00B06084"/>
    <w:rsid w:val="00B079D3"/>
    <w:rsid w:val="00B157D1"/>
    <w:rsid w:val="00B16984"/>
    <w:rsid w:val="00B305DB"/>
    <w:rsid w:val="00B33B0E"/>
    <w:rsid w:val="00B35501"/>
    <w:rsid w:val="00B40211"/>
    <w:rsid w:val="00B82DF9"/>
    <w:rsid w:val="00B847C6"/>
    <w:rsid w:val="00B87C7F"/>
    <w:rsid w:val="00BA5B90"/>
    <w:rsid w:val="00BA7541"/>
    <w:rsid w:val="00BB4EB8"/>
    <w:rsid w:val="00BB5806"/>
    <w:rsid w:val="00BC23A5"/>
    <w:rsid w:val="00BE671F"/>
    <w:rsid w:val="00BE7FDE"/>
    <w:rsid w:val="00BF0187"/>
    <w:rsid w:val="00BF5FA8"/>
    <w:rsid w:val="00C04ABD"/>
    <w:rsid w:val="00C06E26"/>
    <w:rsid w:val="00C1474A"/>
    <w:rsid w:val="00C2025D"/>
    <w:rsid w:val="00C34ACB"/>
    <w:rsid w:val="00C36B1F"/>
    <w:rsid w:val="00C528C1"/>
    <w:rsid w:val="00C56B5A"/>
    <w:rsid w:val="00C646A5"/>
    <w:rsid w:val="00C64CFF"/>
    <w:rsid w:val="00C7087D"/>
    <w:rsid w:val="00C74DDE"/>
    <w:rsid w:val="00C81838"/>
    <w:rsid w:val="00C8234C"/>
    <w:rsid w:val="00C87E9E"/>
    <w:rsid w:val="00C94BC1"/>
    <w:rsid w:val="00CA4C78"/>
    <w:rsid w:val="00CA63C3"/>
    <w:rsid w:val="00CB3643"/>
    <w:rsid w:val="00CB5424"/>
    <w:rsid w:val="00CB59AA"/>
    <w:rsid w:val="00CC35E7"/>
    <w:rsid w:val="00CD3F2D"/>
    <w:rsid w:val="00CD75B1"/>
    <w:rsid w:val="00CE058D"/>
    <w:rsid w:val="00CE150F"/>
    <w:rsid w:val="00CF34D9"/>
    <w:rsid w:val="00CF5F38"/>
    <w:rsid w:val="00D075E8"/>
    <w:rsid w:val="00D212CB"/>
    <w:rsid w:val="00D23F69"/>
    <w:rsid w:val="00D349C5"/>
    <w:rsid w:val="00D36A0C"/>
    <w:rsid w:val="00D37C48"/>
    <w:rsid w:val="00D420C4"/>
    <w:rsid w:val="00D570BC"/>
    <w:rsid w:val="00D57E51"/>
    <w:rsid w:val="00D80C58"/>
    <w:rsid w:val="00DB06A9"/>
    <w:rsid w:val="00DB5AF7"/>
    <w:rsid w:val="00DC1204"/>
    <w:rsid w:val="00DC624D"/>
    <w:rsid w:val="00DE28AC"/>
    <w:rsid w:val="00DF58C8"/>
    <w:rsid w:val="00E043DE"/>
    <w:rsid w:val="00E12C1D"/>
    <w:rsid w:val="00E20585"/>
    <w:rsid w:val="00E22EBA"/>
    <w:rsid w:val="00E4540E"/>
    <w:rsid w:val="00E45D27"/>
    <w:rsid w:val="00E60C19"/>
    <w:rsid w:val="00E63F53"/>
    <w:rsid w:val="00E67744"/>
    <w:rsid w:val="00E730AF"/>
    <w:rsid w:val="00E77C0D"/>
    <w:rsid w:val="00E80889"/>
    <w:rsid w:val="00EA4216"/>
    <w:rsid w:val="00EB46CE"/>
    <w:rsid w:val="00EC391E"/>
    <w:rsid w:val="00ED5776"/>
    <w:rsid w:val="00ED7332"/>
    <w:rsid w:val="00EE3F52"/>
    <w:rsid w:val="00EF4D4D"/>
    <w:rsid w:val="00F15D14"/>
    <w:rsid w:val="00F3413E"/>
    <w:rsid w:val="00F358CB"/>
    <w:rsid w:val="00F37474"/>
    <w:rsid w:val="00F649A6"/>
    <w:rsid w:val="00F71FF7"/>
    <w:rsid w:val="00F73EA1"/>
    <w:rsid w:val="00F75AE7"/>
    <w:rsid w:val="00F77503"/>
    <w:rsid w:val="00F853D5"/>
    <w:rsid w:val="00F85F97"/>
    <w:rsid w:val="00F907C1"/>
    <w:rsid w:val="00FA121B"/>
    <w:rsid w:val="00FA2099"/>
    <w:rsid w:val="00FB0FE0"/>
    <w:rsid w:val="00FB534E"/>
    <w:rsid w:val="00FC0B18"/>
    <w:rsid w:val="00FE7484"/>
    <w:rsid w:val="00FF1337"/>
    <w:rsid w:val="00FF4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A121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FA121B"/>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E45D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818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table" w:styleId="Tablaconcuadrcula">
    <w:name w:val="Table Grid"/>
    <w:basedOn w:val="Tablanormal"/>
    <w:uiPriority w:val="39"/>
    <w:rsid w:val="00E7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57E51"/>
  </w:style>
  <w:style w:type="paragraph" w:styleId="NormalWeb">
    <w:name w:val="Normal (Web)"/>
    <w:basedOn w:val="Normal"/>
    <w:uiPriority w:val="99"/>
    <w:semiHidden/>
    <w:unhideWhenUsed/>
    <w:rsid w:val="005F1F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TDC3">
    <w:name w:val="toc 3"/>
    <w:basedOn w:val="Normal"/>
    <w:next w:val="Normal"/>
    <w:autoRedefine/>
    <w:uiPriority w:val="39"/>
    <w:unhideWhenUsed/>
    <w:rsid w:val="00493D5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2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56159-37C9-4A95-B77F-6B0593AE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3078</Words>
  <Characters>16935</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2017-08-18T00:57:00Z</cp:lastPrinted>
  <dcterms:created xsi:type="dcterms:W3CDTF">2018-09-10T22:19:00Z</dcterms:created>
  <dcterms:modified xsi:type="dcterms:W3CDTF">2018-12-06T00:58:00Z</dcterms:modified>
</cp:coreProperties>
</file>